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EBE" w:rsidRPr="00453B80" w:rsidRDefault="00A57383" w:rsidP="00FD3B3B">
      <w:pPr>
        <w:spacing w:before="0" w:after="0" w:line="240" w:lineRule="auto"/>
        <w:rPr>
          <w:sz w:val="28"/>
          <w:szCs w:val="28"/>
          <w:lang w:val="en-US"/>
        </w:rPr>
      </w:pPr>
      <w:r w:rsidRPr="00A57383">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32.7pt;margin-top:-30.5pt;width:253.5pt;height:56.25pt;z-index:-3" wrapcoords="-64 0 -64 21312 21600 21312 21600 0 -64 0">
            <v:imagedata r:id="rId8" o:title=""/>
            <w10:wrap type="tight"/>
          </v:shape>
        </w:pict>
      </w:r>
      <w:r w:rsidRPr="00A57383">
        <w:rPr>
          <w:noProof/>
          <w:lang w:val="en-US"/>
        </w:rPr>
        <w:pict>
          <v:shape id="_x0000_s1032" type="#_x0000_t75" style="position:absolute;left:0;text-align:left;margin-left:364.35pt;margin-top:-38.75pt;width:111pt;height:104.25pt;z-index:-4" wrapcoords="-146 0 -146 21289 21600 21289 21600 0 -146 0">
            <v:imagedata r:id="rId9" o:title=""/>
            <w10:wrap type="tight"/>
          </v:shape>
        </w:pict>
      </w:r>
    </w:p>
    <w:p w:rsidR="007F191F" w:rsidRPr="00453B80" w:rsidRDefault="007F191F" w:rsidP="00FD3B3B">
      <w:pPr>
        <w:rPr>
          <w:lang w:val="en-US"/>
        </w:rPr>
      </w:pPr>
    </w:p>
    <w:p w:rsidR="000716C8" w:rsidRPr="00453B80" w:rsidRDefault="000716C8" w:rsidP="00FD3B3B">
      <w:pPr>
        <w:rPr>
          <w:lang w:val="en-US"/>
        </w:rPr>
      </w:pPr>
    </w:p>
    <w:p w:rsidR="000716C8" w:rsidRPr="00453B80" w:rsidRDefault="000716C8" w:rsidP="00FD3B3B">
      <w:pPr>
        <w:rPr>
          <w:lang w:val="en-US"/>
        </w:rPr>
      </w:pPr>
    </w:p>
    <w:p w:rsidR="000716C8" w:rsidRPr="00453B80" w:rsidRDefault="000716C8" w:rsidP="00FD3B3B">
      <w:pPr>
        <w:rPr>
          <w:lang w:val="en-US"/>
        </w:rPr>
      </w:pPr>
    </w:p>
    <w:p w:rsidR="000716C8" w:rsidRPr="00453B80" w:rsidRDefault="000716C8" w:rsidP="00FD3B3B">
      <w:pPr>
        <w:rPr>
          <w:lang w:val="en-US"/>
        </w:rPr>
      </w:pPr>
    </w:p>
    <w:p w:rsidR="000716C8" w:rsidRPr="00453B80" w:rsidRDefault="00A57383" w:rsidP="00FD3B3B">
      <w:pPr>
        <w:rPr>
          <w:lang w:val="en-US"/>
        </w:rPr>
      </w:pPr>
      <w:r w:rsidRPr="00A57383">
        <w:rPr>
          <w:b/>
          <w:noProof/>
          <w:color w:val="333399"/>
          <w:spacing w:val="-6"/>
          <w:sz w:val="40"/>
          <w:szCs w:val="40"/>
          <w:lang w:val="en-US"/>
        </w:rPr>
        <w:pict>
          <v:shapetype id="_x0000_t202" coordsize="21600,21600" o:spt="202" path="m,l,21600r21600,l21600,xe">
            <v:stroke joinstyle="miter"/>
            <v:path gradientshapeok="t" o:connecttype="rect"/>
          </v:shapetype>
          <v:shape id="_x0000_s1035" type="#_x0000_t202" style="position:absolute;left:0;text-align:left;margin-left:0;margin-top:14.7pt;width:428.15pt;height:47.1pt;z-index:1;mso-position-horizontal:center;mso-width-relative:margin;mso-height-relative:margin" stroked="f">
            <v:textbox>
              <w:txbxContent>
                <w:p w:rsidR="00852060" w:rsidRDefault="00852060">
                  <w:r w:rsidRPr="000716C8">
                    <w:rPr>
                      <w:b/>
                      <w:color w:val="333399"/>
                      <w:spacing w:val="-6"/>
                      <w:sz w:val="40"/>
                      <w:szCs w:val="40"/>
                      <w:lang w:val="en-US"/>
                    </w:rPr>
                    <w:t>Czech-Austrian Winter and Summer School</w:t>
                  </w:r>
                </w:p>
              </w:txbxContent>
            </v:textbox>
          </v:shape>
        </w:pict>
      </w:r>
    </w:p>
    <w:p w:rsidR="000716C8" w:rsidRPr="00453B80" w:rsidRDefault="000716C8" w:rsidP="00FD3B3B">
      <w:pPr>
        <w:rPr>
          <w:lang w:val="en-US"/>
        </w:rPr>
      </w:pPr>
    </w:p>
    <w:p w:rsidR="000716C8" w:rsidRPr="00453B80" w:rsidRDefault="000716C8" w:rsidP="00FD3B3B">
      <w:pPr>
        <w:pStyle w:val="Kopfzeile"/>
        <w:tabs>
          <w:tab w:val="right" w:pos="1440"/>
        </w:tabs>
        <w:rPr>
          <w:b/>
          <w:color w:val="333399"/>
          <w:spacing w:val="-6"/>
          <w:sz w:val="40"/>
          <w:szCs w:val="40"/>
          <w:lang w:val="en-US"/>
        </w:rPr>
      </w:pPr>
    </w:p>
    <w:p w:rsidR="000716C8" w:rsidRPr="00453B80" w:rsidRDefault="000716C8" w:rsidP="00FD3B3B">
      <w:pPr>
        <w:rPr>
          <w:lang w:val="en-US"/>
        </w:rPr>
      </w:pPr>
    </w:p>
    <w:p w:rsidR="000716C8" w:rsidRPr="00453B80" w:rsidRDefault="000716C8" w:rsidP="00FD3B3B">
      <w:pPr>
        <w:rPr>
          <w:lang w:val="en-US"/>
        </w:rPr>
      </w:pPr>
    </w:p>
    <w:p w:rsidR="000716C8" w:rsidRPr="00453B80" w:rsidRDefault="00A57383" w:rsidP="00FD3B3B">
      <w:pPr>
        <w:rPr>
          <w:lang w:val="en-US"/>
        </w:rPr>
      </w:pPr>
      <w:r w:rsidRPr="00A57383">
        <w:rPr>
          <w:noProof/>
          <w:lang w:val="en-US"/>
        </w:rPr>
        <w:pict>
          <v:shape id="_x0000_s1036" type="#_x0000_t202" style="position:absolute;left:0;text-align:left;margin-left:89.85pt;margin-top:12.35pt;width:273.75pt;height:122.8pt;z-index:2;mso-width-relative:margin;mso-height-relative:margin" stroked="f">
            <v:textbox>
              <w:txbxContent>
                <w:p w:rsidR="00852060" w:rsidRPr="007F127D" w:rsidRDefault="00852060" w:rsidP="00B34912">
                  <w:pPr>
                    <w:spacing w:before="0" w:after="0" w:line="240" w:lineRule="auto"/>
                    <w:jc w:val="center"/>
                    <w:rPr>
                      <w:rFonts w:eastAsia="Times New Roman" w:cs="Arial"/>
                      <w:b/>
                      <w:sz w:val="28"/>
                      <w:szCs w:val="28"/>
                      <w:lang w:val="en-GB" w:eastAsia="de-AT"/>
                    </w:rPr>
                  </w:pPr>
                  <w:r w:rsidRPr="007F127D">
                    <w:rPr>
                      <w:rFonts w:eastAsia="Times New Roman" w:cs="Arial"/>
                      <w:b/>
                      <w:sz w:val="28"/>
                      <w:szCs w:val="28"/>
                      <w:lang w:val="en-GB" w:eastAsia="de-AT"/>
                    </w:rPr>
                    <w:t>Liberalization and compet</w:t>
                  </w:r>
                  <w:r>
                    <w:rPr>
                      <w:rFonts w:eastAsia="Times New Roman" w:cs="Arial"/>
                      <w:b/>
                      <w:sz w:val="28"/>
                      <w:szCs w:val="28"/>
                      <w:lang w:val="en-GB" w:eastAsia="de-AT"/>
                    </w:rPr>
                    <w:t>ition on the energy market in Czech Republic and Austria</w:t>
                  </w:r>
                </w:p>
                <w:p w:rsidR="00852060" w:rsidRPr="00B34912" w:rsidRDefault="00852060" w:rsidP="00AB4229">
                  <w:pPr>
                    <w:tabs>
                      <w:tab w:val="left" w:pos="1620"/>
                    </w:tabs>
                    <w:spacing w:before="0" w:after="0" w:line="240" w:lineRule="auto"/>
                    <w:jc w:val="center"/>
                    <w:rPr>
                      <w:b/>
                      <w:bCs/>
                      <w:i/>
                      <w:sz w:val="28"/>
                      <w:szCs w:val="28"/>
                      <w:lang w:val="en-GB"/>
                    </w:rPr>
                  </w:pPr>
                </w:p>
                <w:p w:rsidR="00852060" w:rsidRDefault="00852060" w:rsidP="00AB4229">
                  <w:pPr>
                    <w:tabs>
                      <w:tab w:val="left" w:pos="1620"/>
                    </w:tabs>
                    <w:spacing w:before="0" w:after="0" w:line="240" w:lineRule="auto"/>
                    <w:jc w:val="center"/>
                    <w:rPr>
                      <w:b/>
                      <w:bCs/>
                      <w:i/>
                      <w:sz w:val="28"/>
                      <w:szCs w:val="28"/>
                      <w:lang w:val="en-US"/>
                    </w:rPr>
                  </w:pPr>
                </w:p>
                <w:p w:rsidR="00852060" w:rsidRDefault="00852060" w:rsidP="004D35AC">
                  <w:pPr>
                    <w:spacing w:before="0" w:after="0" w:line="240" w:lineRule="auto"/>
                    <w:jc w:val="center"/>
                    <w:rPr>
                      <w:rFonts w:eastAsia="Times New Roman" w:cs="Arial"/>
                      <w:szCs w:val="20"/>
                      <w:lang w:val="de-AT" w:eastAsia="de-AT"/>
                    </w:rPr>
                  </w:pPr>
                  <w:r>
                    <w:rPr>
                      <w:rFonts w:eastAsia="Times New Roman" w:cs="Arial"/>
                      <w:szCs w:val="20"/>
                      <w:lang w:val="de-AT" w:eastAsia="de-AT"/>
                    </w:rPr>
                    <w:t>Mader, Georg</w:t>
                  </w:r>
                </w:p>
                <w:p w:rsidR="00852060" w:rsidRPr="00B34912" w:rsidRDefault="00852060" w:rsidP="00B34912">
                  <w:pPr>
                    <w:spacing w:before="0" w:after="0" w:line="240" w:lineRule="auto"/>
                    <w:jc w:val="center"/>
                    <w:rPr>
                      <w:rFonts w:eastAsia="Times New Roman" w:cs="Arial"/>
                      <w:szCs w:val="22"/>
                      <w:lang w:val="de-AT" w:eastAsia="de-AT"/>
                    </w:rPr>
                  </w:pPr>
                  <w:r w:rsidRPr="00B34912">
                    <w:rPr>
                      <w:rFonts w:eastAsia="Times New Roman" w:cs="Arial"/>
                      <w:szCs w:val="22"/>
                      <w:lang w:val="de-AT" w:eastAsia="de-AT"/>
                    </w:rPr>
                    <w:t>Matoušová, Hana</w:t>
                  </w:r>
                </w:p>
                <w:p w:rsidR="00852060" w:rsidRPr="00343FB3" w:rsidRDefault="00852060" w:rsidP="00343FB3">
                  <w:pPr>
                    <w:spacing w:before="0" w:after="0" w:line="240" w:lineRule="auto"/>
                    <w:jc w:val="center"/>
                    <w:rPr>
                      <w:rFonts w:eastAsia="Times New Roman" w:cs="Arial"/>
                      <w:szCs w:val="20"/>
                      <w:lang w:val="de-AT" w:eastAsia="de-AT"/>
                    </w:rPr>
                  </w:pPr>
                </w:p>
                <w:p w:rsidR="00852060" w:rsidRPr="00AB4229" w:rsidRDefault="00852060" w:rsidP="00AB4229">
                  <w:pPr>
                    <w:tabs>
                      <w:tab w:val="left" w:pos="1620"/>
                    </w:tabs>
                    <w:spacing w:before="0" w:after="0" w:line="240" w:lineRule="auto"/>
                    <w:jc w:val="center"/>
                    <w:rPr>
                      <w:b/>
                      <w:bCs/>
                      <w:i/>
                      <w:sz w:val="28"/>
                      <w:szCs w:val="28"/>
                      <w:lang w:val="en-US"/>
                    </w:rPr>
                  </w:pPr>
                </w:p>
                <w:p w:rsidR="00852060" w:rsidRDefault="00852060"/>
              </w:txbxContent>
            </v:textbox>
          </v:shape>
        </w:pict>
      </w:r>
    </w:p>
    <w:p w:rsidR="000716C8" w:rsidRPr="00453B80" w:rsidRDefault="000716C8" w:rsidP="00FD3B3B">
      <w:pPr>
        <w:rPr>
          <w:lang w:val="en-US"/>
        </w:rPr>
      </w:pPr>
    </w:p>
    <w:p w:rsidR="000716C8" w:rsidRPr="00453B80" w:rsidRDefault="000716C8" w:rsidP="00FD3B3B">
      <w:pPr>
        <w:rPr>
          <w:lang w:val="en-US"/>
        </w:rPr>
      </w:pPr>
    </w:p>
    <w:p w:rsidR="000716C8" w:rsidRPr="00453B80" w:rsidRDefault="000716C8" w:rsidP="00FD3B3B">
      <w:pPr>
        <w:rPr>
          <w:lang w:val="en-US"/>
        </w:rPr>
      </w:pPr>
    </w:p>
    <w:p w:rsidR="000716C8" w:rsidRPr="00453B80" w:rsidRDefault="000716C8" w:rsidP="00FD3B3B">
      <w:pPr>
        <w:rPr>
          <w:lang w:val="en-US"/>
        </w:rPr>
      </w:pPr>
    </w:p>
    <w:p w:rsidR="000716C8" w:rsidRPr="00453B80" w:rsidRDefault="000716C8" w:rsidP="00FD3B3B">
      <w:pPr>
        <w:rPr>
          <w:lang w:val="en-US"/>
        </w:rPr>
      </w:pPr>
    </w:p>
    <w:p w:rsidR="000716C8" w:rsidRPr="00453B80" w:rsidRDefault="000716C8" w:rsidP="00FD3B3B">
      <w:pPr>
        <w:rPr>
          <w:lang w:val="en-US"/>
        </w:rPr>
      </w:pPr>
    </w:p>
    <w:p w:rsidR="000716C8" w:rsidRPr="00453B80" w:rsidRDefault="000716C8" w:rsidP="00FD3B3B">
      <w:pPr>
        <w:rPr>
          <w:lang w:val="en-US"/>
        </w:rPr>
      </w:pPr>
    </w:p>
    <w:p w:rsidR="000716C8" w:rsidRPr="00453B80" w:rsidRDefault="000716C8" w:rsidP="00FD3B3B">
      <w:pPr>
        <w:rPr>
          <w:lang w:val="en-US"/>
        </w:rPr>
      </w:pPr>
    </w:p>
    <w:p w:rsidR="000716C8" w:rsidRPr="00453B80" w:rsidRDefault="000716C8" w:rsidP="00FD3B3B">
      <w:pPr>
        <w:rPr>
          <w:lang w:val="en-US"/>
        </w:rPr>
      </w:pPr>
    </w:p>
    <w:p w:rsidR="000716C8" w:rsidRPr="00453B80" w:rsidRDefault="000716C8" w:rsidP="00FD3B3B">
      <w:pPr>
        <w:rPr>
          <w:lang w:val="en-US"/>
        </w:rPr>
      </w:pPr>
      <w:r w:rsidRPr="00453B80">
        <w:rPr>
          <w:rFonts w:cs="Arial"/>
          <w:sz w:val="28"/>
          <w:szCs w:val="28"/>
          <w:lang w:val="en-US"/>
        </w:rPr>
        <w:t>Co-operating Universities</w:t>
      </w:r>
    </w:p>
    <w:p w:rsidR="000716C8" w:rsidRPr="00453B80" w:rsidRDefault="000716C8" w:rsidP="00FD3B3B">
      <w:pPr>
        <w:rPr>
          <w:lang w:val="en-US"/>
        </w:rPr>
      </w:pPr>
    </w:p>
    <w:p w:rsidR="000716C8" w:rsidRPr="00453B80" w:rsidRDefault="00D31241" w:rsidP="00FD3B3B">
      <w:pPr>
        <w:rPr>
          <w:lang w:val="en-US"/>
        </w:rPr>
      </w:pPr>
      <w:r w:rsidRPr="00A57383">
        <w:rPr>
          <w:lang w:val="en-US"/>
        </w:rPr>
        <w:pict>
          <v:shape id="_x0000_i1025" type="#_x0000_t75" style="width:71.35pt;height:64.2pt">
            <v:imagedata r:id="rId10" o:title=""/>
          </v:shape>
        </w:pict>
      </w:r>
      <w:r w:rsidR="000716C8" w:rsidRPr="00453B80">
        <w:rPr>
          <w:lang w:val="en-US"/>
        </w:rPr>
        <w:t xml:space="preserve">         </w:t>
      </w:r>
      <w:r w:rsidR="00A57383" w:rsidRPr="00A57383">
        <w:rPr>
          <w:lang w:val="en-US"/>
        </w:rPr>
        <w:pict>
          <v:shape id="_x0000_i1026" type="#_x0000_t75" style="width:90.8pt;height:68.1pt">
            <v:imagedata r:id="rId11" o:title=""/>
          </v:shape>
        </w:pict>
      </w:r>
      <w:r w:rsidR="000716C8" w:rsidRPr="00453B80">
        <w:rPr>
          <w:lang w:val="en-US"/>
        </w:rPr>
        <w:t xml:space="preserve">       </w:t>
      </w:r>
      <w:r w:rsidR="00A57383" w:rsidRPr="00A57383">
        <w:rPr>
          <w:lang w:val="en-US"/>
        </w:rPr>
        <w:pict>
          <v:shape id="_x0000_i1027" type="#_x0000_t75" style="width:127.15pt;height:64.85pt">
            <v:imagedata r:id="rId12" o:title=""/>
          </v:shape>
        </w:pict>
      </w:r>
      <w:r w:rsidR="000716C8" w:rsidRPr="00453B80">
        <w:rPr>
          <w:lang w:val="en-US"/>
        </w:rPr>
        <w:t xml:space="preserve">     </w:t>
      </w:r>
      <w:r w:rsidR="00A57383" w:rsidRPr="00A57383">
        <w:rPr>
          <w:lang w:val="en-US"/>
        </w:rPr>
        <w:pict>
          <v:shape id="_x0000_i1028" type="#_x0000_t75" style="width:73.95pt;height:62.25pt">
            <v:imagedata r:id="rId13" o:title="Logo_GRAZ"/>
          </v:shape>
        </w:pict>
      </w:r>
    </w:p>
    <w:p w:rsidR="000716C8" w:rsidRPr="00453B80" w:rsidRDefault="000716C8" w:rsidP="00FD3B3B">
      <w:pPr>
        <w:rPr>
          <w:lang w:val="en-US"/>
        </w:rPr>
      </w:pPr>
    </w:p>
    <w:p w:rsidR="000716C8" w:rsidRPr="00453B80" w:rsidRDefault="000716C8" w:rsidP="00FD3B3B">
      <w:pPr>
        <w:rPr>
          <w:lang w:val="en-US"/>
        </w:rPr>
      </w:pPr>
    </w:p>
    <w:p w:rsidR="000716C8" w:rsidRPr="00453B80" w:rsidRDefault="000716C8" w:rsidP="00FD3B3B">
      <w:pPr>
        <w:rPr>
          <w:lang w:val="en-US"/>
        </w:rPr>
      </w:pPr>
    </w:p>
    <w:p w:rsidR="000716C8" w:rsidRPr="00453B80" w:rsidRDefault="000716C8" w:rsidP="00FD3B3B">
      <w:pPr>
        <w:rPr>
          <w:lang w:val="en-US"/>
        </w:rPr>
      </w:pPr>
      <w:r w:rsidRPr="00453B80">
        <w:rPr>
          <w:rFonts w:cs="Arial"/>
          <w:sz w:val="28"/>
          <w:szCs w:val="28"/>
          <w:lang w:val="en-US"/>
        </w:rPr>
        <w:t>Financial support by</w:t>
      </w:r>
    </w:p>
    <w:p w:rsidR="000716C8" w:rsidRPr="00453B80" w:rsidRDefault="000716C8" w:rsidP="00FD3B3B">
      <w:pPr>
        <w:rPr>
          <w:lang w:val="en-US"/>
        </w:rPr>
      </w:pPr>
    </w:p>
    <w:p w:rsidR="000716C8" w:rsidRPr="00453B80" w:rsidRDefault="00A57383" w:rsidP="00FD3B3B">
      <w:pPr>
        <w:rPr>
          <w:lang w:val="en-US"/>
        </w:rPr>
      </w:pPr>
      <w:r w:rsidRPr="00A57383">
        <w:rPr>
          <w:lang w:val="en-US"/>
        </w:rPr>
        <w:pict>
          <v:shape id="_x0000_i1029" type="#_x0000_t75" style="width:83.05pt;height:1in">
            <v:imagedata r:id="rId14" o:title=""/>
          </v:shape>
        </w:pict>
      </w:r>
      <w:r w:rsidR="000716C8" w:rsidRPr="00453B80">
        <w:rPr>
          <w:lang w:val="en-US"/>
        </w:rPr>
        <w:t xml:space="preserve">        </w:t>
      </w:r>
      <w:r w:rsidRPr="00A57383">
        <w:rPr>
          <w:lang w:val="en-US"/>
        </w:rPr>
        <w:pict>
          <v:shape id="_x0000_i1030" type="#_x0000_t75" style="width:97.95pt;height:70.05pt">
            <v:imagedata r:id="rId15" o:title=""/>
          </v:shape>
        </w:pict>
      </w:r>
    </w:p>
    <w:p w:rsidR="000716C8" w:rsidRPr="00453B80" w:rsidRDefault="000716C8" w:rsidP="00FD3B3B">
      <w:pPr>
        <w:rPr>
          <w:lang w:val="en-US"/>
        </w:rPr>
      </w:pPr>
    </w:p>
    <w:p w:rsidR="000716C8" w:rsidRPr="00453B80" w:rsidRDefault="000716C8" w:rsidP="00FD3B3B">
      <w:pPr>
        <w:jc w:val="center"/>
        <w:rPr>
          <w:lang w:val="en-US"/>
        </w:rPr>
      </w:pPr>
    </w:p>
    <w:p w:rsidR="000716C8" w:rsidRPr="008A1474" w:rsidRDefault="003C1B59" w:rsidP="00FD3B3B">
      <w:pPr>
        <w:spacing w:before="0" w:after="0" w:line="240" w:lineRule="auto"/>
        <w:jc w:val="center"/>
        <w:rPr>
          <w:b/>
          <w:bCs/>
          <w:szCs w:val="24"/>
          <w:lang w:val="en-US"/>
        </w:rPr>
        <w:sectPr w:rsidR="000716C8" w:rsidRPr="008A1474" w:rsidSect="007138CE">
          <w:pgSz w:w="11906" w:h="16838" w:code="9"/>
          <w:pgMar w:top="1418" w:right="1418" w:bottom="1418" w:left="1418" w:header="709" w:footer="709" w:gutter="0"/>
          <w:cols w:space="708"/>
          <w:titlePg/>
          <w:docGrid w:linePitch="360"/>
        </w:sectPr>
      </w:pPr>
      <w:r>
        <w:rPr>
          <w:b/>
          <w:bCs/>
          <w:szCs w:val="24"/>
          <w:lang w:val="en-US"/>
        </w:rPr>
        <w:t>Prague and Vienna, 2011</w:t>
      </w:r>
    </w:p>
    <w:p w:rsidR="0076734E" w:rsidRPr="00FD3B3B" w:rsidRDefault="00D44E0D" w:rsidP="00FD3B3B">
      <w:pPr>
        <w:pStyle w:val="Inhaltsverzeichnisberschrift"/>
        <w:jc w:val="both"/>
        <w:rPr>
          <w:rFonts w:ascii="Arial" w:hAnsi="Arial" w:cs="Arial"/>
          <w:color w:val="auto"/>
        </w:rPr>
      </w:pPr>
      <w:bookmarkStart w:id="0" w:name="_Toc293390657"/>
      <w:r w:rsidRPr="00FD3B3B">
        <w:rPr>
          <w:rFonts w:ascii="Arial" w:hAnsi="Arial" w:cs="Arial"/>
          <w:color w:val="auto"/>
        </w:rPr>
        <w:lastRenderedPageBreak/>
        <w:t>CONTENT</w:t>
      </w:r>
    </w:p>
    <w:p w:rsidR="00852060" w:rsidRPr="005241FD" w:rsidRDefault="00A57383" w:rsidP="00FD3B3B">
      <w:pPr>
        <w:pStyle w:val="Verzeichnis1"/>
        <w:jc w:val="both"/>
        <w:rPr>
          <w:rFonts w:asciiTheme="minorHAnsi" w:eastAsiaTheme="minorEastAsia" w:hAnsiTheme="minorHAnsi" w:cstheme="minorBidi"/>
          <w:b w:val="0"/>
          <w:noProof/>
          <w:lang w:eastAsia="cs-CZ"/>
        </w:rPr>
      </w:pPr>
      <w:r w:rsidRPr="00A57383">
        <w:fldChar w:fldCharType="begin"/>
      </w:r>
      <w:r w:rsidR="0076734E">
        <w:instrText xml:space="preserve"> TOC \o "1-3" \h \z \u </w:instrText>
      </w:r>
      <w:r w:rsidRPr="00A57383">
        <w:fldChar w:fldCharType="separate"/>
      </w:r>
      <w:hyperlink w:anchor="_Toc295272688" w:history="1">
        <w:r w:rsidR="00852060" w:rsidRPr="00E813A1">
          <w:rPr>
            <w:rStyle w:val="Hyperlink"/>
            <w:noProof/>
          </w:rPr>
          <w:t>1.</w:t>
        </w:r>
        <w:r w:rsidR="00852060">
          <w:rPr>
            <w:rFonts w:asciiTheme="minorHAnsi" w:eastAsiaTheme="minorEastAsia" w:hAnsiTheme="minorHAnsi" w:cstheme="minorBidi"/>
            <w:b w:val="0"/>
            <w:noProof/>
            <w:lang w:eastAsia="cs-CZ"/>
          </w:rPr>
          <w:tab/>
        </w:r>
        <w:r w:rsidR="00852060" w:rsidRPr="00E813A1">
          <w:rPr>
            <w:rStyle w:val="Hyperlink"/>
            <w:noProof/>
          </w:rPr>
          <w:t>Introduction and General information</w:t>
        </w:r>
        <w:r w:rsidR="00852060">
          <w:rPr>
            <w:noProof/>
            <w:webHidden/>
          </w:rPr>
          <w:tab/>
        </w:r>
        <w:r>
          <w:rPr>
            <w:noProof/>
            <w:webHidden/>
          </w:rPr>
          <w:fldChar w:fldCharType="begin"/>
        </w:r>
        <w:r w:rsidR="00852060">
          <w:rPr>
            <w:noProof/>
            <w:webHidden/>
          </w:rPr>
          <w:instrText xml:space="preserve"> PAGEREF _Toc295272688 \h </w:instrText>
        </w:r>
        <w:r>
          <w:rPr>
            <w:noProof/>
            <w:webHidden/>
          </w:rPr>
        </w:r>
        <w:r>
          <w:rPr>
            <w:noProof/>
            <w:webHidden/>
          </w:rPr>
          <w:fldChar w:fldCharType="separate"/>
        </w:r>
        <w:r w:rsidR="00852060">
          <w:rPr>
            <w:noProof/>
            <w:webHidden/>
          </w:rPr>
          <w:t>7</w:t>
        </w:r>
        <w:r>
          <w:rPr>
            <w:noProof/>
            <w:webHidden/>
          </w:rPr>
          <w:fldChar w:fldCharType="end"/>
        </w:r>
      </w:hyperlink>
    </w:p>
    <w:p w:rsidR="00852060" w:rsidRDefault="00A57383" w:rsidP="00FD3B3B">
      <w:pPr>
        <w:pStyle w:val="Verzeichnis1"/>
        <w:jc w:val="both"/>
        <w:rPr>
          <w:rFonts w:asciiTheme="minorHAnsi" w:eastAsiaTheme="minorEastAsia" w:hAnsiTheme="minorHAnsi" w:cstheme="minorBidi"/>
          <w:b w:val="0"/>
          <w:noProof/>
          <w:lang w:eastAsia="cs-CZ"/>
        </w:rPr>
      </w:pPr>
      <w:hyperlink w:anchor="_Toc295272690" w:history="1">
        <w:r w:rsidR="00852060" w:rsidRPr="00E813A1">
          <w:rPr>
            <w:rStyle w:val="Hyperlink"/>
            <w:noProof/>
          </w:rPr>
          <w:t>2.</w:t>
        </w:r>
        <w:r w:rsidR="00852060">
          <w:rPr>
            <w:rFonts w:asciiTheme="minorHAnsi" w:eastAsiaTheme="minorEastAsia" w:hAnsiTheme="minorHAnsi" w:cstheme="minorBidi"/>
            <w:b w:val="0"/>
            <w:noProof/>
            <w:lang w:eastAsia="cs-CZ"/>
          </w:rPr>
          <w:tab/>
        </w:r>
        <w:r w:rsidR="00FD3B3B">
          <w:rPr>
            <w:rStyle w:val="Hyperlink"/>
            <w:noProof/>
          </w:rPr>
          <w:t>T</w:t>
        </w:r>
        <w:r w:rsidR="00852060" w:rsidRPr="00E813A1">
          <w:rPr>
            <w:rStyle w:val="Hyperlink"/>
            <w:noProof/>
          </w:rPr>
          <w:t>he way to a li</w:t>
        </w:r>
        <w:r w:rsidR="00FD3B3B">
          <w:rPr>
            <w:rStyle w:val="Hyperlink"/>
            <w:noProof/>
          </w:rPr>
          <w:t>beralized energy market in the C</w:t>
        </w:r>
        <w:r w:rsidR="00852060" w:rsidRPr="00E813A1">
          <w:rPr>
            <w:rStyle w:val="Hyperlink"/>
            <w:noProof/>
          </w:rPr>
          <w:t>zech republic and Austria</w:t>
        </w:r>
        <w:r w:rsidR="00852060">
          <w:rPr>
            <w:noProof/>
            <w:webHidden/>
          </w:rPr>
          <w:tab/>
        </w:r>
        <w:r>
          <w:rPr>
            <w:noProof/>
            <w:webHidden/>
          </w:rPr>
          <w:fldChar w:fldCharType="begin"/>
        </w:r>
        <w:r w:rsidR="00852060">
          <w:rPr>
            <w:noProof/>
            <w:webHidden/>
          </w:rPr>
          <w:instrText xml:space="preserve"> PAGEREF _Toc295272690 \h </w:instrText>
        </w:r>
        <w:r>
          <w:rPr>
            <w:noProof/>
            <w:webHidden/>
          </w:rPr>
        </w:r>
        <w:r>
          <w:rPr>
            <w:noProof/>
            <w:webHidden/>
          </w:rPr>
          <w:fldChar w:fldCharType="separate"/>
        </w:r>
        <w:r w:rsidR="00852060">
          <w:rPr>
            <w:noProof/>
            <w:webHidden/>
          </w:rPr>
          <w:t>7</w:t>
        </w:r>
        <w:r>
          <w:rPr>
            <w:noProof/>
            <w:webHidden/>
          </w:rPr>
          <w:fldChar w:fldCharType="end"/>
        </w:r>
      </w:hyperlink>
    </w:p>
    <w:p w:rsidR="00852060" w:rsidRPr="005241FD" w:rsidRDefault="00A57383" w:rsidP="00FD3B3B">
      <w:pPr>
        <w:pStyle w:val="Verzeichnis1"/>
        <w:jc w:val="both"/>
        <w:rPr>
          <w:rFonts w:asciiTheme="minorHAnsi" w:eastAsiaTheme="minorEastAsia" w:hAnsiTheme="minorHAnsi" w:cstheme="minorBidi"/>
          <w:b w:val="0"/>
          <w:noProof/>
          <w:lang w:eastAsia="cs-CZ"/>
        </w:rPr>
      </w:pPr>
      <w:hyperlink w:anchor="_Toc295272708" w:history="1">
        <w:r w:rsidR="00852060" w:rsidRPr="00E813A1">
          <w:rPr>
            <w:rStyle w:val="Hyperlink"/>
            <w:noProof/>
            <w:lang w:val="en-GB"/>
          </w:rPr>
          <w:t>3.</w:t>
        </w:r>
        <w:r w:rsidR="00852060">
          <w:rPr>
            <w:rFonts w:asciiTheme="minorHAnsi" w:eastAsiaTheme="minorEastAsia" w:hAnsiTheme="minorHAnsi" w:cstheme="minorBidi"/>
            <w:b w:val="0"/>
            <w:noProof/>
            <w:lang w:eastAsia="cs-CZ"/>
          </w:rPr>
          <w:tab/>
        </w:r>
        <w:r w:rsidR="00852060" w:rsidRPr="00E813A1">
          <w:rPr>
            <w:rStyle w:val="Hyperlink"/>
            <w:noProof/>
            <w:lang w:val="en-GB"/>
          </w:rPr>
          <w:t>The way to a liberalized gas market</w:t>
        </w:r>
        <w:r w:rsidR="00852060">
          <w:rPr>
            <w:noProof/>
            <w:webHidden/>
          </w:rPr>
          <w:tab/>
        </w:r>
        <w:r>
          <w:rPr>
            <w:noProof/>
            <w:webHidden/>
          </w:rPr>
          <w:fldChar w:fldCharType="begin"/>
        </w:r>
        <w:r w:rsidR="00852060">
          <w:rPr>
            <w:noProof/>
            <w:webHidden/>
          </w:rPr>
          <w:instrText xml:space="preserve"> PAGEREF _Toc295272708 \h </w:instrText>
        </w:r>
        <w:r>
          <w:rPr>
            <w:noProof/>
            <w:webHidden/>
          </w:rPr>
        </w:r>
        <w:r>
          <w:rPr>
            <w:noProof/>
            <w:webHidden/>
          </w:rPr>
          <w:fldChar w:fldCharType="separate"/>
        </w:r>
        <w:r w:rsidR="00852060">
          <w:rPr>
            <w:noProof/>
            <w:webHidden/>
          </w:rPr>
          <w:t>10</w:t>
        </w:r>
        <w:r>
          <w:rPr>
            <w:noProof/>
            <w:webHidden/>
          </w:rPr>
          <w:fldChar w:fldCharType="end"/>
        </w:r>
      </w:hyperlink>
    </w:p>
    <w:p w:rsidR="00852060" w:rsidRDefault="00A57383" w:rsidP="00FD3B3B">
      <w:pPr>
        <w:pStyle w:val="Verzeichnis1"/>
        <w:jc w:val="both"/>
        <w:rPr>
          <w:rFonts w:asciiTheme="minorHAnsi" w:eastAsiaTheme="minorEastAsia" w:hAnsiTheme="minorHAnsi" w:cstheme="minorBidi"/>
          <w:b w:val="0"/>
          <w:noProof/>
          <w:lang w:eastAsia="cs-CZ"/>
        </w:rPr>
      </w:pPr>
      <w:hyperlink w:anchor="_Toc295272714" w:history="1">
        <w:r w:rsidR="00852060" w:rsidRPr="00E813A1">
          <w:rPr>
            <w:rStyle w:val="Hyperlink"/>
            <w:noProof/>
            <w:lang w:val="en-GB"/>
          </w:rPr>
          <w:t>4.</w:t>
        </w:r>
        <w:r w:rsidR="00852060">
          <w:rPr>
            <w:rFonts w:asciiTheme="minorHAnsi" w:eastAsiaTheme="minorEastAsia" w:hAnsiTheme="minorHAnsi" w:cstheme="minorBidi"/>
            <w:b w:val="0"/>
            <w:noProof/>
            <w:lang w:eastAsia="cs-CZ"/>
          </w:rPr>
          <w:tab/>
        </w:r>
        <w:r w:rsidR="00852060" w:rsidRPr="00E813A1">
          <w:rPr>
            <w:rStyle w:val="Hyperlink"/>
            <w:noProof/>
          </w:rPr>
          <w:t>The development of the energy market since liberalization</w:t>
        </w:r>
        <w:r w:rsidR="00852060">
          <w:rPr>
            <w:noProof/>
            <w:webHidden/>
          </w:rPr>
          <w:tab/>
        </w:r>
        <w:r>
          <w:rPr>
            <w:noProof/>
            <w:webHidden/>
          </w:rPr>
          <w:fldChar w:fldCharType="begin"/>
        </w:r>
        <w:r w:rsidR="00852060">
          <w:rPr>
            <w:noProof/>
            <w:webHidden/>
          </w:rPr>
          <w:instrText xml:space="preserve"> PAGEREF _Toc295272714 \h </w:instrText>
        </w:r>
        <w:r>
          <w:rPr>
            <w:noProof/>
            <w:webHidden/>
          </w:rPr>
        </w:r>
        <w:r>
          <w:rPr>
            <w:noProof/>
            <w:webHidden/>
          </w:rPr>
          <w:fldChar w:fldCharType="separate"/>
        </w:r>
        <w:r w:rsidR="00852060">
          <w:rPr>
            <w:noProof/>
            <w:webHidden/>
          </w:rPr>
          <w:t>11</w:t>
        </w:r>
        <w:r>
          <w:rPr>
            <w:noProof/>
            <w:webHidden/>
          </w:rPr>
          <w:fldChar w:fldCharType="end"/>
        </w:r>
      </w:hyperlink>
    </w:p>
    <w:p w:rsidR="00852060" w:rsidRDefault="00A57383" w:rsidP="00FD3B3B">
      <w:pPr>
        <w:pStyle w:val="Verzeichnis2"/>
        <w:jc w:val="both"/>
        <w:rPr>
          <w:rFonts w:asciiTheme="minorHAnsi" w:eastAsiaTheme="minorEastAsia" w:hAnsiTheme="minorHAnsi" w:cstheme="minorBidi"/>
          <w:noProof/>
          <w:szCs w:val="22"/>
          <w:lang w:eastAsia="cs-CZ"/>
        </w:rPr>
      </w:pPr>
      <w:hyperlink w:anchor="_Toc295272716" w:history="1">
        <w:r w:rsidR="00852060" w:rsidRPr="00E813A1">
          <w:rPr>
            <w:rStyle w:val="Hyperlink"/>
            <w:noProof/>
            <w:lang w:val="en-GB"/>
          </w:rPr>
          <w:t>4.1.</w:t>
        </w:r>
        <w:r w:rsidR="00852060">
          <w:rPr>
            <w:rFonts w:asciiTheme="minorHAnsi" w:eastAsiaTheme="minorEastAsia" w:hAnsiTheme="minorHAnsi" w:cstheme="minorBidi"/>
            <w:noProof/>
            <w:szCs w:val="22"/>
            <w:lang w:eastAsia="cs-CZ"/>
          </w:rPr>
          <w:tab/>
        </w:r>
        <w:r w:rsidR="00852060" w:rsidRPr="00E813A1">
          <w:rPr>
            <w:rStyle w:val="Hyperlink"/>
            <w:noProof/>
          </w:rPr>
          <w:t>The gas market in Austria since the liberalization</w:t>
        </w:r>
        <w:r w:rsidR="00852060">
          <w:rPr>
            <w:noProof/>
            <w:webHidden/>
          </w:rPr>
          <w:tab/>
        </w:r>
        <w:r>
          <w:rPr>
            <w:noProof/>
            <w:webHidden/>
          </w:rPr>
          <w:fldChar w:fldCharType="begin"/>
        </w:r>
        <w:r w:rsidR="00852060">
          <w:rPr>
            <w:noProof/>
            <w:webHidden/>
          </w:rPr>
          <w:instrText xml:space="preserve"> PAGEREF _Toc295272716 \h </w:instrText>
        </w:r>
        <w:r>
          <w:rPr>
            <w:noProof/>
            <w:webHidden/>
          </w:rPr>
        </w:r>
        <w:r>
          <w:rPr>
            <w:noProof/>
            <w:webHidden/>
          </w:rPr>
          <w:fldChar w:fldCharType="separate"/>
        </w:r>
        <w:r w:rsidR="00852060">
          <w:rPr>
            <w:noProof/>
            <w:webHidden/>
          </w:rPr>
          <w:t>11</w:t>
        </w:r>
        <w:r>
          <w:rPr>
            <w:noProof/>
            <w:webHidden/>
          </w:rPr>
          <w:fldChar w:fldCharType="end"/>
        </w:r>
      </w:hyperlink>
    </w:p>
    <w:p w:rsidR="00852060" w:rsidRDefault="00A57383" w:rsidP="00FD3B3B">
      <w:pPr>
        <w:pStyle w:val="Verzeichnis2"/>
        <w:jc w:val="both"/>
        <w:rPr>
          <w:rFonts w:asciiTheme="minorHAnsi" w:eastAsiaTheme="minorEastAsia" w:hAnsiTheme="minorHAnsi" w:cstheme="minorBidi"/>
          <w:noProof/>
          <w:szCs w:val="22"/>
          <w:lang w:eastAsia="cs-CZ"/>
        </w:rPr>
      </w:pPr>
      <w:hyperlink w:anchor="_Toc295272720" w:history="1">
        <w:r w:rsidR="00852060" w:rsidRPr="00E813A1">
          <w:rPr>
            <w:rStyle w:val="Hyperlink"/>
            <w:noProof/>
            <w:lang w:val="en-GB"/>
          </w:rPr>
          <w:t>4.2.</w:t>
        </w:r>
        <w:r w:rsidR="00852060">
          <w:rPr>
            <w:rFonts w:asciiTheme="minorHAnsi" w:eastAsiaTheme="minorEastAsia" w:hAnsiTheme="minorHAnsi" w:cstheme="minorBidi"/>
            <w:noProof/>
            <w:szCs w:val="22"/>
            <w:lang w:eastAsia="cs-CZ"/>
          </w:rPr>
          <w:tab/>
        </w:r>
        <w:r w:rsidR="00852060" w:rsidRPr="00E813A1">
          <w:rPr>
            <w:rStyle w:val="Hyperlink"/>
            <w:noProof/>
          </w:rPr>
          <w:t>The gas market in the Czech Republic since the liberalization</w:t>
        </w:r>
        <w:r w:rsidR="00852060">
          <w:rPr>
            <w:noProof/>
            <w:webHidden/>
          </w:rPr>
          <w:tab/>
        </w:r>
        <w:r>
          <w:rPr>
            <w:noProof/>
            <w:webHidden/>
          </w:rPr>
          <w:fldChar w:fldCharType="begin"/>
        </w:r>
        <w:r w:rsidR="00852060">
          <w:rPr>
            <w:noProof/>
            <w:webHidden/>
          </w:rPr>
          <w:instrText xml:space="preserve"> PAGEREF _Toc295272720 \h </w:instrText>
        </w:r>
        <w:r>
          <w:rPr>
            <w:noProof/>
            <w:webHidden/>
          </w:rPr>
        </w:r>
        <w:r>
          <w:rPr>
            <w:noProof/>
            <w:webHidden/>
          </w:rPr>
          <w:fldChar w:fldCharType="separate"/>
        </w:r>
        <w:r w:rsidR="00852060">
          <w:rPr>
            <w:noProof/>
            <w:webHidden/>
          </w:rPr>
          <w:t>13</w:t>
        </w:r>
        <w:r>
          <w:rPr>
            <w:noProof/>
            <w:webHidden/>
          </w:rPr>
          <w:fldChar w:fldCharType="end"/>
        </w:r>
      </w:hyperlink>
    </w:p>
    <w:p w:rsidR="00852060" w:rsidRDefault="00A57383" w:rsidP="00FD3B3B">
      <w:pPr>
        <w:pStyle w:val="Verzeichnis1"/>
        <w:jc w:val="both"/>
        <w:rPr>
          <w:rFonts w:asciiTheme="minorHAnsi" w:eastAsiaTheme="minorEastAsia" w:hAnsiTheme="minorHAnsi" w:cstheme="minorBidi"/>
          <w:b w:val="0"/>
          <w:noProof/>
          <w:lang w:eastAsia="cs-CZ"/>
        </w:rPr>
      </w:pPr>
      <w:hyperlink w:anchor="_Toc295272721" w:history="1">
        <w:r w:rsidR="00852060" w:rsidRPr="00E813A1">
          <w:rPr>
            <w:rStyle w:val="Hyperlink"/>
            <w:noProof/>
          </w:rPr>
          <w:t>5.</w:t>
        </w:r>
        <w:r w:rsidR="00852060">
          <w:rPr>
            <w:rFonts w:asciiTheme="minorHAnsi" w:eastAsiaTheme="minorEastAsia" w:hAnsiTheme="minorHAnsi" w:cstheme="minorBidi"/>
            <w:b w:val="0"/>
            <w:noProof/>
            <w:lang w:eastAsia="cs-CZ"/>
          </w:rPr>
          <w:tab/>
        </w:r>
        <w:r w:rsidR="00FD3B3B">
          <w:rPr>
            <w:rStyle w:val="Hyperlink"/>
            <w:noProof/>
          </w:rPr>
          <w:t>T</w:t>
        </w:r>
        <w:r w:rsidR="00852060" w:rsidRPr="00E813A1">
          <w:rPr>
            <w:rStyle w:val="Hyperlink"/>
            <w:noProof/>
          </w:rPr>
          <w:t>he electricity market since the liberalization</w:t>
        </w:r>
        <w:r w:rsidR="00852060">
          <w:rPr>
            <w:noProof/>
            <w:webHidden/>
          </w:rPr>
          <w:tab/>
        </w:r>
        <w:r>
          <w:rPr>
            <w:noProof/>
            <w:webHidden/>
          </w:rPr>
          <w:fldChar w:fldCharType="begin"/>
        </w:r>
        <w:r w:rsidR="00852060">
          <w:rPr>
            <w:noProof/>
            <w:webHidden/>
          </w:rPr>
          <w:instrText xml:space="preserve"> PAGEREF _Toc295272721 \h </w:instrText>
        </w:r>
        <w:r>
          <w:rPr>
            <w:noProof/>
            <w:webHidden/>
          </w:rPr>
        </w:r>
        <w:r>
          <w:rPr>
            <w:noProof/>
            <w:webHidden/>
          </w:rPr>
          <w:fldChar w:fldCharType="separate"/>
        </w:r>
        <w:r w:rsidR="00852060">
          <w:rPr>
            <w:noProof/>
            <w:webHidden/>
          </w:rPr>
          <w:t>14</w:t>
        </w:r>
        <w:r>
          <w:rPr>
            <w:noProof/>
            <w:webHidden/>
          </w:rPr>
          <w:fldChar w:fldCharType="end"/>
        </w:r>
      </w:hyperlink>
    </w:p>
    <w:p w:rsidR="00852060" w:rsidRDefault="00A57383" w:rsidP="00FD3B3B">
      <w:pPr>
        <w:pStyle w:val="Verzeichnis2"/>
        <w:jc w:val="both"/>
        <w:rPr>
          <w:rFonts w:asciiTheme="minorHAnsi" w:eastAsiaTheme="minorEastAsia" w:hAnsiTheme="minorHAnsi" w:cstheme="minorBidi"/>
          <w:noProof/>
          <w:szCs w:val="22"/>
          <w:lang w:eastAsia="cs-CZ"/>
        </w:rPr>
      </w:pPr>
      <w:hyperlink w:anchor="_Toc295272722" w:history="1">
        <w:r w:rsidR="00852060" w:rsidRPr="00E813A1">
          <w:rPr>
            <w:rStyle w:val="Hyperlink"/>
            <w:noProof/>
            <w:lang w:val="en-GB"/>
          </w:rPr>
          <w:t>5.1</w:t>
        </w:r>
        <w:r w:rsidR="00852060">
          <w:rPr>
            <w:rFonts w:asciiTheme="minorHAnsi" w:eastAsiaTheme="minorEastAsia" w:hAnsiTheme="minorHAnsi" w:cstheme="minorBidi"/>
            <w:noProof/>
            <w:szCs w:val="22"/>
            <w:lang w:eastAsia="cs-CZ"/>
          </w:rPr>
          <w:tab/>
        </w:r>
        <w:r w:rsidR="00852060" w:rsidRPr="00E813A1">
          <w:rPr>
            <w:rStyle w:val="Hyperlink"/>
            <w:noProof/>
            <w:lang w:val="en-GB"/>
          </w:rPr>
          <w:t>The composition of the electricity price in Austria and Czech Republic</w:t>
        </w:r>
        <w:r w:rsidR="00852060">
          <w:rPr>
            <w:noProof/>
            <w:webHidden/>
          </w:rPr>
          <w:tab/>
        </w:r>
        <w:r>
          <w:rPr>
            <w:noProof/>
            <w:webHidden/>
          </w:rPr>
          <w:fldChar w:fldCharType="begin"/>
        </w:r>
        <w:r w:rsidR="00852060">
          <w:rPr>
            <w:noProof/>
            <w:webHidden/>
          </w:rPr>
          <w:instrText xml:space="preserve"> PAGEREF _Toc295272722 \h </w:instrText>
        </w:r>
        <w:r>
          <w:rPr>
            <w:noProof/>
            <w:webHidden/>
          </w:rPr>
        </w:r>
        <w:r>
          <w:rPr>
            <w:noProof/>
            <w:webHidden/>
          </w:rPr>
          <w:fldChar w:fldCharType="separate"/>
        </w:r>
        <w:r w:rsidR="00852060">
          <w:rPr>
            <w:noProof/>
            <w:webHidden/>
          </w:rPr>
          <w:t>14</w:t>
        </w:r>
        <w:r>
          <w:rPr>
            <w:noProof/>
            <w:webHidden/>
          </w:rPr>
          <w:fldChar w:fldCharType="end"/>
        </w:r>
      </w:hyperlink>
    </w:p>
    <w:p w:rsidR="00852060" w:rsidRDefault="00A57383" w:rsidP="00FD3B3B">
      <w:pPr>
        <w:pStyle w:val="Verzeichnis2"/>
        <w:jc w:val="both"/>
        <w:rPr>
          <w:rFonts w:asciiTheme="minorHAnsi" w:eastAsiaTheme="minorEastAsia" w:hAnsiTheme="minorHAnsi" w:cstheme="minorBidi"/>
          <w:noProof/>
          <w:szCs w:val="22"/>
          <w:lang w:eastAsia="cs-CZ"/>
        </w:rPr>
      </w:pPr>
      <w:hyperlink w:anchor="_Toc295272725" w:history="1">
        <w:r w:rsidR="00852060" w:rsidRPr="00E813A1">
          <w:rPr>
            <w:rStyle w:val="Hyperlink"/>
            <w:noProof/>
          </w:rPr>
          <w:t>5.2</w:t>
        </w:r>
        <w:r w:rsidR="00852060">
          <w:rPr>
            <w:rFonts w:asciiTheme="minorHAnsi" w:eastAsiaTheme="minorEastAsia" w:hAnsiTheme="minorHAnsi" w:cstheme="minorBidi"/>
            <w:noProof/>
            <w:szCs w:val="22"/>
            <w:lang w:eastAsia="cs-CZ"/>
          </w:rPr>
          <w:tab/>
        </w:r>
        <w:r w:rsidR="00852060" w:rsidRPr="00E813A1">
          <w:rPr>
            <w:rStyle w:val="Hyperlink"/>
            <w:noProof/>
          </w:rPr>
          <w:t>The development of electricity price over the years</w:t>
        </w:r>
        <w:r w:rsidR="00852060">
          <w:rPr>
            <w:noProof/>
            <w:webHidden/>
          </w:rPr>
          <w:tab/>
        </w:r>
        <w:r>
          <w:rPr>
            <w:noProof/>
            <w:webHidden/>
          </w:rPr>
          <w:fldChar w:fldCharType="begin"/>
        </w:r>
        <w:r w:rsidR="00852060">
          <w:rPr>
            <w:noProof/>
            <w:webHidden/>
          </w:rPr>
          <w:instrText xml:space="preserve"> PAGEREF _Toc295272725 \h </w:instrText>
        </w:r>
        <w:r>
          <w:rPr>
            <w:noProof/>
            <w:webHidden/>
          </w:rPr>
        </w:r>
        <w:r>
          <w:rPr>
            <w:noProof/>
            <w:webHidden/>
          </w:rPr>
          <w:fldChar w:fldCharType="separate"/>
        </w:r>
        <w:r w:rsidR="00852060">
          <w:rPr>
            <w:noProof/>
            <w:webHidden/>
          </w:rPr>
          <w:t>16</w:t>
        </w:r>
        <w:r>
          <w:rPr>
            <w:noProof/>
            <w:webHidden/>
          </w:rPr>
          <w:fldChar w:fldCharType="end"/>
        </w:r>
      </w:hyperlink>
    </w:p>
    <w:p w:rsidR="00852060" w:rsidRDefault="00A57383" w:rsidP="00FD3B3B">
      <w:pPr>
        <w:pStyle w:val="Verzeichnis1"/>
        <w:jc w:val="both"/>
        <w:rPr>
          <w:rFonts w:asciiTheme="minorHAnsi" w:eastAsiaTheme="minorEastAsia" w:hAnsiTheme="minorHAnsi" w:cstheme="minorBidi"/>
          <w:b w:val="0"/>
          <w:noProof/>
          <w:lang w:eastAsia="cs-CZ"/>
        </w:rPr>
      </w:pPr>
      <w:hyperlink w:anchor="_Toc295272728" w:history="1">
        <w:r w:rsidR="00852060" w:rsidRPr="00E813A1">
          <w:rPr>
            <w:rStyle w:val="Hyperlink"/>
            <w:noProof/>
          </w:rPr>
          <w:t>6.</w:t>
        </w:r>
        <w:r w:rsidR="00852060">
          <w:rPr>
            <w:rFonts w:asciiTheme="minorHAnsi" w:eastAsiaTheme="minorEastAsia" w:hAnsiTheme="minorHAnsi" w:cstheme="minorBidi"/>
            <w:b w:val="0"/>
            <w:noProof/>
            <w:lang w:eastAsia="cs-CZ"/>
          </w:rPr>
          <w:tab/>
        </w:r>
        <w:r w:rsidR="00852060" w:rsidRPr="00E813A1">
          <w:rPr>
            <w:rStyle w:val="Hyperlink"/>
            <w:noProof/>
          </w:rPr>
          <w:t>Conclusion</w:t>
        </w:r>
        <w:r w:rsidR="00852060">
          <w:rPr>
            <w:noProof/>
            <w:webHidden/>
          </w:rPr>
          <w:tab/>
        </w:r>
        <w:r>
          <w:rPr>
            <w:noProof/>
            <w:webHidden/>
          </w:rPr>
          <w:fldChar w:fldCharType="begin"/>
        </w:r>
        <w:r w:rsidR="00852060">
          <w:rPr>
            <w:noProof/>
            <w:webHidden/>
          </w:rPr>
          <w:instrText xml:space="preserve"> PAGEREF _Toc295272728 \h </w:instrText>
        </w:r>
        <w:r>
          <w:rPr>
            <w:noProof/>
            <w:webHidden/>
          </w:rPr>
        </w:r>
        <w:r>
          <w:rPr>
            <w:noProof/>
            <w:webHidden/>
          </w:rPr>
          <w:fldChar w:fldCharType="separate"/>
        </w:r>
        <w:r w:rsidR="00852060">
          <w:rPr>
            <w:noProof/>
            <w:webHidden/>
          </w:rPr>
          <w:t>19</w:t>
        </w:r>
        <w:r>
          <w:rPr>
            <w:noProof/>
            <w:webHidden/>
          </w:rPr>
          <w:fldChar w:fldCharType="end"/>
        </w:r>
      </w:hyperlink>
    </w:p>
    <w:p w:rsidR="00852060" w:rsidRDefault="00A57383" w:rsidP="00FD3B3B">
      <w:pPr>
        <w:pStyle w:val="Verzeichnis1"/>
        <w:jc w:val="both"/>
        <w:rPr>
          <w:rFonts w:asciiTheme="minorHAnsi" w:eastAsiaTheme="minorEastAsia" w:hAnsiTheme="minorHAnsi" w:cstheme="minorBidi"/>
          <w:b w:val="0"/>
          <w:noProof/>
          <w:lang w:eastAsia="cs-CZ"/>
        </w:rPr>
      </w:pPr>
      <w:hyperlink w:anchor="_Toc295272729" w:history="1">
        <w:r w:rsidR="00852060" w:rsidRPr="00E813A1">
          <w:rPr>
            <w:rStyle w:val="Hyperlink"/>
            <w:noProof/>
          </w:rPr>
          <w:t>7.</w:t>
        </w:r>
        <w:r w:rsidR="00852060">
          <w:rPr>
            <w:rFonts w:asciiTheme="minorHAnsi" w:eastAsiaTheme="minorEastAsia" w:hAnsiTheme="minorHAnsi" w:cstheme="minorBidi"/>
            <w:b w:val="0"/>
            <w:noProof/>
            <w:lang w:eastAsia="cs-CZ"/>
          </w:rPr>
          <w:tab/>
        </w:r>
        <w:r w:rsidR="00852060" w:rsidRPr="00E813A1">
          <w:rPr>
            <w:rStyle w:val="Hyperlink"/>
            <w:noProof/>
          </w:rPr>
          <w:t>Literature</w:t>
        </w:r>
        <w:r w:rsidR="00852060">
          <w:rPr>
            <w:noProof/>
            <w:webHidden/>
          </w:rPr>
          <w:tab/>
        </w:r>
        <w:r>
          <w:rPr>
            <w:noProof/>
            <w:webHidden/>
          </w:rPr>
          <w:fldChar w:fldCharType="begin"/>
        </w:r>
        <w:r w:rsidR="00852060">
          <w:rPr>
            <w:noProof/>
            <w:webHidden/>
          </w:rPr>
          <w:instrText xml:space="preserve"> PAGEREF _Toc295272729 \h </w:instrText>
        </w:r>
        <w:r>
          <w:rPr>
            <w:noProof/>
            <w:webHidden/>
          </w:rPr>
        </w:r>
        <w:r>
          <w:rPr>
            <w:noProof/>
            <w:webHidden/>
          </w:rPr>
          <w:fldChar w:fldCharType="separate"/>
        </w:r>
        <w:r w:rsidR="00852060">
          <w:rPr>
            <w:noProof/>
            <w:webHidden/>
          </w:rPr>
          <w:t>20</w:t>
        </w:r>
        <w:r>
          <w:rPr>
            <w:noProof/>
            <w:webHidden/>
          </w:rPr>
          <w:fldChar w:fldCharType="end"/>
        </w:r>
      </w:hyperlink>
    </w:p>
    <w:p w:rsidR="0076734E" w:rsidRDefault="00A57383" w:rsidP="00FD3B3B">
      <w:r>
        <w:fldChar w:fldCharType="end"/>
      </w:r>
    </w:p>
    <w:p w:rsidR="0076734E" w:rsidRDefault="0076734E" w:rsidP="00FD3B3B">
      <w:pPr>
        <w:rPr>
          <w:i/>
          <w:szCs w:val="22"/>
          <w:lang w:val="en-US"/>
        </w:rPr>
      </w:pPr>
    </w:p>
    <w:p w:rsidR="0076734E" w:rsidRDefault="0076734E" w:rsidP="00FD3B3B">
      <w:pPr>
        <w:rPr>
          <w:i/>
          <w:szCs w:val="22"/>
          <w:lang w:val="en-US"/>
        </w:rPr>
      </w:pPr>
    </w:p>
    <w:p w:rsidR="0076734E" w:rsidRDefault="0076734E" w:rsidP="00FD3B3B">
      <w:pPr>
        <w:rPr>
          <w:i/>
          <w:szCs w:val="22"/>
          <w:lang w:val="en-US"/>
        </w:rPr>
      </w:pPr>
    </w:p>
    <w:p w:rsidR="00FD3B3B" w:rsidRDefault="00FD3B3B" w:rsidP="00FD3B3B">
      <w:pPr>
        <w:rPr>
          <w:i/>
          <w:szCs w:val="22"/>
          <w:lang w:val="en-US"/>
        </w:rPr>
      </w:pPr>
    </w:p>
    <w:p w:rsidR="00FD3B3B" w:rsidRDefault="00FD3B3B" w:rsidP="00FD3B3B">
      <w:pPr>
        <w:rPr>
          <w:i/>
          <w:szCs w:val="22"/>
          <w:lang w:val="en-US"/>
        </w:rPr>
      </w:pPr>
    </w:p>
    <w:p w:rsidR="0076734E" w:rsidRDefault="0076734E" w:rsidP="00FD3B3B">
      <w:pPr>
        <w:rPr>
          <w:i/>
          <w:szCs w:val="22"/>
          <w:lang w:val="en-US"/>
        </w:rPr>
      </w:pPr>
    </w:p>
    <w:p w:rsidR="0076734E" w:rsidRDefault="0076734E" w:rsidP="00FD3B3B">
      <w:pPr>
        <w:rPr>
          <w:i/>
          <w:szCs w:val="22"/>
          <w:lang w:val="en-US"/>
        </w:rPr>
      </w:pPr>
    </w:p>
    <w:p w:rsidR="0076734E" w:rsidRDefault="0076734E" w:rsidP="00FD3B3B">
      <w:pPr>
        <w:rPr>
          <w:i/>
          <w:szCs w:val="22"/>
          <w:lang w:val="en-US"/>
        </w:rPr>
      </w:pPr>
    </w:p>
    <w:p w:rsidR="0076734E" w:rsidRDefault="0076734E" w:rsidP="00FD3B3B">
      <w:pPr>
        <w:rPr>
          <w:i/>
          <w:szCs w:val="22"/>
          <w:lang w:val="en-US"/>
        </w:rPr>
      </w:pPr>
    </w:p>
    <w:p w:rsidR="0076734E" w:rsidRDefault="0076734E" w:rsidP="00FD3B3B">
      <w:pPr>
        <w:rPr>
          <w:i/>
          <w:szCs w:val="22"/>
          <w:lang w:val="en-US"/>
        </w:rPr>
      </w:pPr>
    </w:p>
    <w:p w:rsidR="0076734E" w:rsidRDefault="0076734E" w:rsidP="00FD3B3B">
      <w:pPr>
        <w:rPr>
          <w:i/>
          <w:szCs w:val="22"/>
          <w:lang w:val="en-US"/>
        </w:rPr>
      </w:pPr>
    </w:p>
    <w:p w:rsidR="0076734E" w:rsidRDefault="0076734E" w:rsidP="00FD3B3B">
      <w:pPr>
        <w:rPr>
          <w:i/>
          <w:szCs w:val="22"/>
          <w:lang w:val="en-US"/>
        </w:rPr>
      </w:pPr>
    </w:p>
    <w:p w:rsidR="001F77CA" w:rsidRPr="00F24F09" w:rsidRDefault="001F77CA" w:rsidP="00FD3B3B">
      <w:pPr>
        <w:rPr>
          <w:i/>
          <w:szCs w:val="22"/>
          <w:lang w:val="en-US"/>
        </w:rPr>
      </w:pPr>
      <w:r>
        <w:rPr>
          <w:i/>
          <w:szCs w:val="22"/>
          <w:lang w:val="en-US"/>
        </w:rPr>
        <w:t>Short after the year 2000 the energy market in Europe changed radically. There was a change from a very local regulated market to a totally liberalized market within some years. This paper should explain the reasons for this move and if and how the targets has been reached. A special focus is given on the price development of gas and electricity in Czech Republic and Austria. The text will explain why households haven’t benefitted from the liberalization while many companies have become much more competitive because of reducing their expenditures for energy.</w:t>
      </w:r>
    </w:p>
    <w:bookmarkEnd w:id="0"/>
    <w:p w:rsidR="003637B0" w:rsidRPr="00453B80" w:rsidRDefault="003637B0" w:rsidP="00FD3B3B">
      <w:pPr>
        <w:ind w:left="2835"/>
        <w:rPr>
          <w:szCs w:val="22"/>
          <w:lang w:val="en-US"/>
        </w:rPr>
        <w:sectPr w:rsidR="003637B0" w:rsidRPr="00453B80" w:rsidSect="002450EB">
          <w:headerReference w:type="default" r:id="rId16"/>
          <w:footerReference w:type="default" r:id="rId17"/>
          <w:pgSz w:w="11906" w:h="16838"/>
          <w:pgMar w:top="1418" w:right="992" w:bottom="1418" w:left="2126" w:header="709" w:footer="709" w:gutter="0"/>
          <w:cols w:space="708"/>
          <w:docGrid w:linePitch="360"/>
        </w:sectPr>
      </w:pPr>
    </w:p>
    <w:p w:rsidR="003637B0" w:rsidRPr="00453B80" w:rsidRDefault="003637B0" w:rsidP="00FD3B3B">
      <w:pPr>
        <w:pStyle w:val="berschrift1"/>
        <w:jc w:val="both"/>
        <w:rPr>
          <w:lang w:val="en-US"/>
        </w:rPr>
      </w:pPr>
      <w:bookmarkStart w:id="1" w:name="_Toc217376418"/>
      <w:bookmarkStart w:id="2" w:name="_Toc227571144"/>
      <w:bookmarkStart w:id="3" w:name="_Toc293390660"/>
      <w:bookmarkStart w:id="4" w:name="_Toc295272688"/>
      <w:r w:rsidRPr="00453B80">
        <w:rPr>
          <w:lang w:val="en-US"/>
        </w:rPr>
        <w:lastRenderedPageBreak/>
        <w:t>1.</w:t>
      </w:r>
      <w:r w:rsidRPr="00453B80">
        <w:rPr>
          <w:lang w:val="en-US"/>
        </w:rPr>
        <w:tab/>
      </w:r>
      <w:bookmarkEnd w:id="1"/>
      <w:r w:rsidR="00BF102F" w:rsidRPr="00453B80">
        <w:rPr>
          <w:lang w:val="en-US"/>
        </w:rPr>
        <w:t xml:space="preserve">Introduction and </w:t>
      </w:r>
      <w:r w:rsidR="00ED6BA9" w:rsidRPr="00453B80">
        <w:rPr>
          <w:lang w:val="en-US"/>
        </w:rPr>
        <w:t xml:space="preserve">General </w:t>
      </w:r>
      <w:r w:rsidR="00D17FBB" w:rsidRPr="00453B80">
        <w:rPr>
          <w:lang w:val="en-US"/>
        </w:rPr>
        <w:t>information</w:t>
      </w:r>
      <w:bookmarkEnd w:id="2"/>
      <w:bookmarkEnd w:id="3"/>
      <w:bookmarkEnd w:id="4"/>
    </w:p>
    <w:p w:rsidR="001F77CA" w:rsidRPr="00D376AA" w:rsidRDefault="001F77CA" w:rsidP="00FD3B3B">
      <w:pPr>
        <w:keepNext/>
        <w:tabs>
          <w:tab w:val="left" w:pos="680"/>
        </w:tabs>
        <w:suppressAutoHyphens/>
        <w:spacing w:before="240" w:line="24" w:lineRule="atLeast"/>
        <w:outlineLvl w:val="2"/>
        <w:rPr>
          <w:rFonts w:cs="Arial"/>
          <w:lang w:val="en-GB"/>
        </w:rPr>
      </w:pPr>
      <w:bookmarkStart w:id="5" w:name="_Toc295224998"/>
      <w:bookmarkStart w:id="6" w:name="_Toc295272689"/>
      <w:r>
        <w:rPr>
          <w:rFonts w:cs="Arial"/>
          <w:lang w:val="en-GB"/>
        </w:rPr>
        <w:t xml:space="preserve">In former days </w:t>
      </w:r>
      <w:r w:rsidR="00467DBE">
        <w:rPr>
          <w:rFonts w:cs="Arial"/>
          <w:lang w:val="en-GB"/>
        </w:rPr>
        <w:t xml:space="preserve">in most European countries </w:t>
      </w:r>
      <w:r>
        <w:rPr>
          <w:rFonts w:cs="Arial"/>
          <w:lang w:val="en-GB"/>
        </w:rPr>
        <w:t>the energy market was a very local regulated matter. But by the European integration this changed more and more over the years. The aim of this liberalization of the energy market was to become more competitive on the international market. But was this really the case? Many criticisers are of the opinion that this aim has been reached but by the costs of the households. Other people were frightened that the security of supply wouldn’t be given for all people and regions. As we see not everybody was looking forward the liberalization. This text tries to explain what really happened. The main questions are how the price of gas and electricity, the most important fields of the energy market liberalization, has developed over the years and has the liberalization really been good for the customers?  Furthermore the text will give an ov</w:t>
      </w:r>
      <w:r w:rsidR="00EA78C3">
        <w:rPr>
          <w:rFonts w:cs="Arial"/>
          <w:lang w:val="en-GB"/>
        </w:rPr>
        <w:t>erview over the most important directives</w:t>
      </w:r>
      <w:r>
        <w:rPr>
          <w:rFonts w:cs="Arial"/>
          <w:lang w:val="en-GB"/>
        </w:rPr>
        <w:t>, which should abate the negative sides of a full liberalized market, for instance exploitation of the ecology by the suppliers to get more competitive, or disadvantages for customers. Also today’s criticisms are pointed out. In the beginning the text will show the way to the total liberalized market, which didn’t happen from one day to the other. In the following the developments of the gas and the electricity prices are shown, and how the price of gas and electricity is composed</w:t>
      </w:r>
      <w:bookmarkEnd w:id="5"/>
      <w:bookmarkEnd w:id="6"/>
      <w:r w:rsidR="00EA78C3">
        <w:rPr>
          <w:rFonts w:cs="Arial"/>
          <w:lang w:val="en-GB"/>
        </w:rPr>
        <w:t>.</w:t>
      </w:r>
    </w:p>
    <w:p w:rsidR="001F77CA" w:rsidRPr="00F36AC1" w:rsidRDefault="0089040B" w:rsidP="00FD3B3B">
      <w:pPr>
        <w:rPr>
          <w:sz w:val="2"/>
          <w:lang w:val="en-US"/>
        </w:rPr>
      </w:pPr>
      <w:r w:rsidRPr="006C1BAC">
        <w:rPr>
          <w:lang w:val="en-US"/>
        </w:rPr>
        <w:t xml:space="preserve"> </w:t>
      </w:r>
    </w:p>
    <w:p w:rsidR="00F4287E" w:rsidRPr="00453B80" w:rsidRDefault="004041EB" w:rsidP="003A2FE5">
      <w:pPr>
        <w:pStyle w:val="berschrift1"/>
        <w:ind w:left="624" w:hanging="624"/>
        <w:jc w:val="both"/>
        <w:rPr>
          <w:lang w:val="en-US"/>
        </w:rPr>
      </w:pPr>
      <w:bookmarkStart w:id="7" w:name="_Toc227571146"/>
      <w:bookmarkStart w:id="8" w:name="_Toc293390662"/>
      <w:bookmarkStart w:id="9" w:name="_Toc295272690"/>
      <w:r>
        <w:rPr>
          <w:lang w:val="en-US"/>
        </w:rPr>
        <w:t>2</w:t>
      </w:r>
      <w:r w:rsidR="00E34B84">
        <w:rPr>
          <w:lang w:val="en-US"/>
        </w:rPr>
        <w:t>.</w:t>
      </w:r>
      <w:r w:rsidR="00E34B84">
        <w:rPr>
          <w:lang w:val="en-US"/>
        </w:rPr>
        <w:tab/>
      </w:r>
      <w:bookmarkEnd w:id="7"/>
      <w:bookmarkEnd w:id="8"/>
      <w:r w:rsidR="00B34912">
        <w:rPr>
          <w:lang w:val="en-US"/>
        </w:rPr>
        <w:t xml:space="preserve">the way to a liberalized energy market in </w:t>
      </w:r>
      <w:r w:rsidR="00A54850">
        <w:rPr>
          <w:lang w:val="en-US"/>
        </w:rPr>
        <w:t>the czech republic and Austria</w:t>
      </w:r>
      <w:bookmarkEnd w:id="9"/>
    </w:p>
    <w:p w:rsidR="001F77CA" w:rsidRDefault="001F77CA" w:rsidP="00FD3B3B">
      <w:pPr>
        <w:keepNext/>
        <w:tabs>
          <w:tab w:val="left" w:pos="680"/>
        </w:tabs>
        <w:suppressAutoHyphens/>
        <w:spacing w:before="240" w:line="24" w:lineRule="atLeast"/>
        <w:outlineLvl w:val="2"/>
        <w:rPr>
          <w:rFonts w:cs="Arial"/>
          <w:lang w:val="en-GB"/>
        </w:rPr>
      </w:pPr>
      <w:bookmarkStart w:id="10" w:name="_Toc295225000"/>
      <w:bookmarkStart w:id="11" w:name="_Toc295272691"/>
      <w:r>
        <w:rPr>
          <w:rFonts w:cs="Arial"/>
          <w:lang w:val="en-GB"/>
        </w:rPr>
        <w:t xml:space="preserve">The energy markets in both countries haven’t been liberalized from one day to another. It was a long way to a fully liberalized market. In this chapter it will be explained what the reasons for this step, in a completely different </w:t>
      </w:r>
      <w:r w:rsidR="003A2FE5">
        <w:rPr>
          <w:rFonts w:cs="Arial"/>
          <w:lang w:val="en-GB"/>
        </w:rPr>
        <w:t>direction</w:t>
      </w:r>
      <w:r>
        <w:rPr>
          <w:rFonts w:cs="Arial"/>
          <w:lang w:val="en-GB"/>
        </w:rPr>
        <w:t xml:space="preserve">, have been. To understand this easier it’s important to know when it happened and how liberalization happened. In the end of this chapter we go more into detail how far today’s energy market in </w:t>
      </w:r>
      <w:r w:rsidR="00A54850">
        <w:rPr>
          <w:rFonts w:cs="Arial"/>
          <w:lang w:val="en-GB"/>
        </w:rPr>
        <w:t xml:space="preserve">the </w:t>
      </w:r>
      <w:r>
        <w:rPr>
          <w:rFonts w:cs="Arial"/>
          <w:lang w:val="en-GB"/>
        </w:rPr>
        <w:t>Czech Republic and Austria is liberalized.</w:t>
      </w:r>
      <w:bookmarkEnd w:id="10"/>
      <w:bookmarkEnd w:id="11"/>
    </w:p>
    <w:p w:rsidR="00F36AC1" w:rsidRDefault="001F77CA" w:rsidP="00FD3B3B">
      <w:pPr>
        <w:keepNext/>
        <w:tabs>
          <w:tab w:val="left" w:pos="680"/>
        </w:tabs>
        <w:suppressAutoHyphens/>
        <w:spacing w:before="240" w:line="24" w:lineRule="atLeast"/>
        <w:outlineLvl w:val="2"/>
        <w:rPr>
          <w:rFonts w:cs="Arial"/>
          <w:lang w:val="en-GB"/>
        </w:rPr>
      </w:pPr>
      <w:bookmarkStart w:id="12" w:name="_Toc295225001"/>
      <w:bookmarkStart w:id="13" w:name="_Toc295272692"/>
      <w:r>
        <w:rPr>
          <w:rFonts w:cs="Arial"/>
          <w:lang w:val="en-GB"/>
        </w:rPr>
        <w:t xml:space="preserve">The following is concerning both countries. The liberalization of the energy market in Austria </w:t>
      </w:r>
      <w:r w:rsidR="00A54850">
        <w:rPr>
          <w:rFonts w:cs="Arial"/>
          <w:lang w:val="en-GB"/>
        </w:rPr>
        <w:t xml:space="preserve">and </w:t>
      </w:r>
      <w:r>
        <w:rPr>
          <w:rFonts w:cs="Arial"/>
          <w:lang w:val="en-GB"/>
        </w:rPr>
        <w:t xml:space="preserve">Czech Republic is very strong connected to the European integration. The working paper of the European Commission “The single market for Energy” came to the result that a non-integration of the isolated energy market would cost about 0,5% of the European Union GDP. To ensure the competitiveness of the European economy the target of the European Union was to give frameworks conditions for a fair competition of the European energy industry. The liberalisation of the energy market is divided into electricity and gas liberalization. </w:t>
      </w:r>
      <w:r w:rsidR="00205196">
        <w:rPr>
          <w:rFonts w:cs="Arial"/>
          <w:lang w:val="en-GB"/>
        </w:rPr>
        <w:t>The text starts with</w:t>
      </w:r>
      <w:r>
        <w:rPr>
          <w:rFonts w:cs="Arial"/>
          <w:lang w:val="en-GB"/>
        </w:rPr>
        <w:t xml:space="preserve"> the electricity liberalization.</w:t>
      </w:r>
      <w:bookmarkEnd w:id="12"/>
      <w:r w:rsidR="00F36AC1">
        <w:rPr>
          <w:rStyle w:val="Funotenzeichen"/>
          <w:rFonts w:cs="Arial"/>
          <w:lang w:val="en-GB"/>
        </w:rPr>
        <w:footnoteReference w:id="2"/>
      </w:r>
      <w:bookmarkEnd w:id="13"/>
    </w:p>
    <w:p w:rsidR="00A54850" w:rsidRPr="009F4E33" w:rsidRDefault="00F36AC1" w:rsidP="00FD3B3B">
      <w:pPr>
        <w:keepNext/>
        <w:tabs>
          <w:tab w:val="left" w:pos="680"/>
        </w:tabs>
        <w:suppressAutoHyphens/>
        <w:spacing w:before="240" w:line="24" w:lineRule="atLeast"/>
        <w:outlineLvl w:val="2"/>
        <w:rPr>
          <w:rFonts w:cs="Arial"/>
          <w:color w:val="FF0000"/>
          <w:lang w:val="en-GB"/>
        </w:rPr>
      </w:pPr>
      <w:r w:rsidRPr="009F4E33">
        <w:rPr>
          <w:rFonts w:cs="Arial"/>
          <w:color w:val="FF0000"/>
          <w:lang w:val="en-GB"/>
        </w:rPr>
        <w:t xml:space="preserve"> </w:t>
      </w:r>
    </w:p>
    <w:tbl>
      <w:tblPr>
        <w:tblW w:w="10380" w:type="dxa"/>
        <w:tblInd w:w="55" w:type="dxa"/>
        <w:tblCellMar>
          <w:left w:w="70" w:type="dxa"/>
          <w:right w:w="70" w:type="dxa"/>
        </w:tblCellMar>
        <w:tblLook w:val="04A0"/>
      </w:tblPr>
      <w:tblGrid>
        <w:gridCol w:w="8804"/>
        <w:gridCol w:w="1576"/>
      </w:tblGrid>
      <w:tr w:rsidR="004D35AC" w:rsidRPr="004D35AC" w:rsidTr="006243BE">
        <w:trPr>
          <w:trHeight w:val="300"/>
        </w:trPr>
        <w:tc>
          <w:tcPr>
            <w:tcW w:w="8804" w:type="dxa"/>
            <w:tcBorders>
              <w:top w:val="nil"/>
              <w:left w:val="nil"/>
              <w:bottom w:val="nil"/>
              <w:right w:val="nil"/>
            </w:tcBorders>
            <w:shd w:val="clear" w:color="auto" w:fill="auto"/>
            <w:noWrap/>
            <w:vAlign w:val="bottom"/>
          </w:tcPr>
          <w:p w:rsidR="009F4E33" w:rsidRPr="003368AD" w:rsidRDefault="009F4E33" w:rsidP="00FD3B3B">
            <w:pPr>
              <w:pStyle w:val="Odrky"/>
              <w:numPr>
                <w:ilvl w:val="0"/>
                <w:numId w:val="0"/>
              </w:numPr>
              <w:rPr>
                <w:b/>
                <w:szCs w:val="22"/>
                <w:lang w:val="en-US"/>
              </w:rPr>
            </w:pPr>
            <w:r>
              <w:rPr>
                <w:b/>
                <w:szCs w:val="22"/>
                <w:lang w:val="en-US"/>
              </w:rPr>
              <w:t>The way to a liberalized electricity market</w:t>
            </w:r>
          </w:p>
          <w:p w:rsidR="001F77CA" w:rsidRDefault="001F77CA" w:rsidP="00FD3B3B">
            <w:pPr>
              <w:keepNext/>
              <w:tabs>
                <w:tab w:val="left" w:pos="680"/>
              </w:tabs>
              <w:suppressAutoHyphens/>
              <w:spacing w:before="240" w:line="24" w:lineRule="atLeast"/>
              <w:outlineLvl w:val="2"/>
              <w:rPr>
                <w:rFonts w:cs="Arial"/>
                <w:lang w:val="en-GB"/>
              </w:rPr>
            </w:pPr>
            <w:bookmarkStart w:id="14" w:name="_Toc295225002"/>
            <w:bookmarkStart w:id="15" w:name="_Toc295272693"/>
            <w:r>
              <w:rPr>
                <w:rFonts w:cs="Arial"/>
                <w:lang w:val="en-GB"/>
              </w:rPr>
              <w:t>Before liberalization, the electricity market was regulated and distributed by companies</w:t>
            </w:r>
            <w:r w:rsidR="00205196">
              <w:rPr>
                <w:rFonts w:cs="Arial"/>
                <w:lang w:val="en-GB"/>
              </w:rPr>
              <w:t xml:space="preserve"> with governmental background</w:t>
            </w:r>
            <w:r>
              <w:rPr>
                <w:rFonts w:cs="Arial"/>
                <w:lang w:val="en-GB"/>
              </w:rPr>
              <w:t>. One reason for that was the fact of high costs of generating electricity because of the high part of fixed costs.</w:t>
            </w:r>
            <w:r w:rsidR="00F36AC1">
              <w:rPr>
                <w:rStyle w:val="Funotenzeichen"/>
                <w:rFonts w:cs="Arial"/>
                <w:lang w:val="en-GB"/>
              </w:rPr>
              <w:footnoteReference w:id="3"/>
            </w:r>
            <w:r w:rsidR="00F36AC1">
              <w:rPr>
                <w:rFonts w:cs="Arial"/>
                <w:lang w:val="en-GB"/>
              </w:rPr>
              <w:t xml:space="preserve"> </w:t>
            </w:r>
            <w:r>
              <w:rPr>
                <w:rFonts w:cs="Arial"/>
                <w:lang w:val="en-GB"/>
              </w:rPr>
              <w:t>So it was secured that everyone who needs electricity, gets electricity.</w:t>
            </w:r>
            <w:bookmarkEnd w:id="14"/>
            <w:bookmarkEnd w:id="15"/>
            <w:r>
              <w:rPr>
                <w:rFonts w:cs="Arial"/>
                <w:lang w:val="en-GB"/>
              </w:rPr>
              <w:t xml:space="preserve"> </w:t>
            </w:r>
          </w:p>
          <w:p w:rsidR="001F77CA" w:rsidRPr="00AA7FC5" w:rsidRDefault="001F77CA" w:rsidP="00FD3B3B">
            <w:pPr>
              <w:keepNext/>
              <w:tabs>
                <w:tab w:val="left" w:pos="680"/>
              </w:tabs>
              <w:suppressAutoHyphens/>
              <w:spacing w:before="240" w:line="24" w:lineRule="atLeast"/>
              <w:ind w:left="-55"/>
              <w:outlineLvl w:val="2"/>
              <w:rPr>
                <w:rFonts w:cs="Arial"/>
                <w:lang w:val="en-GB"/>
              </w:rPr>
            </w:pPr>
            <w:bookmarkStart w:id="16" w:name="_Toc295225003"/>
            <w:bookmarkStart w:id="17" w:name="_Toc295272694"/>
            <w:r>
              <w:rPr>
                <w:rFonts w:cs="Arial"/>
                <w:lang w:val="en-GB"/>
              </w:rPr>
              <w:t xml:space="preserve">In December 1996 the Directive 96/92/EC was passed to purpose the target of a single </w:t>
            </w:r>
            <w:r>
              <w:rPr>
                <w:rFonts w:cs="Arial"/>
                <w:lang w:val="en-GB"/>
              </w:rPr>
              <w:lastRenderedPageBreak/>
              <w:t xml:space="preserve">electricity market. Its aim has been to guarantee a competitive electricity market. There were huge discussions about the impact on the structure of supply. So there was even the discussion about the development of the prices for different customer groups after the liberalization. The fear that the battle for large customers could lead to disadvantages for the rest was very present.  The background of this fear is the opinion that energy suppliers could, after losing a profitable customer, compensate their expected losses of turnover by raising the prices. This was opposed by the argument that the pressure on prices by the competition on the market would lead to a lower price level for all customers. </w:t>
            </w:r>
            <w:bookmarkEnd w:id="16"/>
            <w:r w:rsidR="00F36AC1">
              <w:rPr>
                <w:rStyle w:val="Funotenzeichen"/>
                <w:rFonts w:cs="Arial"/>
                <w:lang w:val="en-GB"/>
              </w:rPr>
              <w:footnoteReference w:id="4"/>
            </w:r>
            <w:bookmarkEnd w:id="17"/>
          </w:p>
          <w:p w:rsidR="001F77CA" w:rsidRDefault="001F77CA" w:rsidP="00FD3B3B">
            <w:pPr>
              <w:keepNext/>
              <w:tabs>
                <w:tab w:val="left" w:pos="680"/>
              </w:tabs>
              <w:suppressAutoHyphens/>
              <w:spacing w:before="240" w:line="24" w:lineRule="atLeast"/>
              <w:ind w:left="-55"/>
              <w:outlineLvl w:val="2"/>
              <w:rPr>
                <w:rFonts w:cs="Arial"/>
                <w:lang w:val="en-GB"/>
              </w:rPr>
            </w:pPr>
            <w:bookmarkStart w:id="18" w:name="_Toc295225004"/>
            <w:bookmarkStart w:id="19" w:name="_Toc295272695"/>
            <w:r>
              <w:rPr>
                <w:rFonts w:cs="Arial"/>
                <w:lang w:val="en-GB"/>
              </w:rPr>
              <w:t>It was sure that this makes only sense if cost transparency would be given. Another important point of this directive has been the common commitments for each power supplying company in the European Union which ensures security of supply, interests in environment protection and consumer protection.</w:t>
            </w:r>
            <w:bookmarkEnd w:id="18"/>
            <w:r w:rsidR="00F36AC1">
              <w:rPr>
                <w:rStyle w:val="Funotenzeichen"/>
                <w:rFonts w:cs="Arial"/>
                <w:lang w:val="en-GB"/>
              </w:rPr>
              <w:footnoteReference w:id="5"/>
            </w:r>
            <w:bookmarkEnd w:id="19"/>
          </w:p>
          <w:p w:rsidR="001F77CA" w:rsidRDefault="001F77CA" w:rsidP="00FD3B3B">
            <w:pPr>
              <w:keepNext/>
              <w:tabs>
                <w:tab w:val="left" w:pos="680"/>
              </w:tabs>
              <w:suppressAutoHyphens/>
              <w:spacing w:before="240" w:line="24" w:lineRule="atLeast"/>
              <w:ind w:left="-55"/>
              <w:outlineLvl w:val="2"/>
              <w:rPr>
                <w:rFonts w:cs="Arial"/>
                <w:lang w:val="en-GB"/>
              </w:rPr>
            </w:pPr>
            <w:bookmarkStart w:id="20" w:name="_Toc295225005"/>
            <w:bookmarkStart w:id="21" w:name="_Toc295272696"/>
            <w:r>
              <w:rPr>
                <w:rFonts w:cs="Arial"/>
                <w:lang w:val="en-GB"/>
              </w:rPr>
              <w:t>The European Commission decided for a progressive liberalization because of avoiding adaptive difficulties, which have been assumed by the integration of the directives in the national laws of the member states of the European Union. At the beginning, large customers with an annual consumption of more than 40 GWh got access to the liberalized market. Three years later the threshold was reduced to 20 GWh and further three years later to 9 GWh.</w:t>
            </w:r>
            <w:bookmarkEnd w:id="20"/>
            <w:r w:rsidR="00F36AC1">
              <w:rPr>
                <w:rStyle w:val="Funotenzeichen"/>
                <w:rFonts w:cs="Arial"/>
                <w:lang w:val="en-GB"/>
              </w:rPr>
              <w:footnoteReference w:id="6"/>
            </w:r>
            <w:bookmarkEnd w:id="21"/>
          </w:p>
          <w:p w:rsidR="004D35AC" w:rsidRPr="00FD3B3B" w:rsidRDefault="001F77CA" w:rsidP="00FD3B3B">
            <w:pPr>
              <w:keepNext/>
              <w:tabs>
                <w:tab w:val="left" w:pos="680"/>
              </w:tabs>
              <w:suppressAutoHyphens/>
              <w:spacing w:before="240" w:line="24" w:lineRule="atLeast"/>
              <w:ind w:left="-55"/>
              <w:outlineLvl w:val="2"/>
              <w:rPr>
                <w:rFonts w:cs="Arial"/>
                <w:color w:val="FF0000"/>
                <w:lang w:val="en-GB"/>
              </w:rPr>
            </w:pPr>
            <w:bookmarkStart w:id="22" w:name="_Toc295225006"/>
            <w:bookmarkStart w:id="23" w:name="_Toc295272697"/>
            <w:r>
              <w:rPr>
                <w:rFonts w:cs="Arial"/>
                <w:lang w:val="en-GB"/>
              </w:rPr>
              <w:t>To avoid unequal liberalization in European countries this has been regulated in Article 19(5) Directive 96/92/EC</w:t>
            </w:r>
            <w:r w:rsidR="00832610">
              <w:rPr>
                <w:rFonts w:cs="Arial"/>
                <w:lang w:val="en-GB"/>
              </w:rPr>
              <w:t>, which also</w:t>
            </w:r>
            <w:r>
              <w:rPr>
                <w:rFonts w:cs="Arial"/>
                <w:lang w:val="en-GB"/>
              </w:rPr>
              <w:t xml:space="preserve"> regulates the running of the grids and the transparency of the competition. Article 17 of Directive 96/92/EC regulates the system of the grid access. The choice of the supplier is free for the customers and they are not bounded to the local supplier any more. One supplier can rent the grid to another supplier, but the terms of the transit have to be free negotiated</w:t>
            </w:r>
            <w:r w:rsidR="00205196">
              <w:rPr>
                <w:rFonts w:cs="Arial"/>
                <w:lang w:val="en-GB"/>
              </w:rPr>
              <w:t>.</w:t>
            </w:r>
            <w:bookmarkEnd w:id="22"/>
            <w:r w:rsidR="00F36AC1">
              <w:rPr>
                <w:rStyle w:val="Funotenzeichen"/>
                <w:rFonts w:cs="Arial"/>
                <w:lang w:val="en-GB"/>
              </w:rPr>
              <w:footnoteReference w:id="7"/>
            </w:r>
            <w:bookmarkEnd w:id="23"/>
          </w:p>
        </w:tc>
        <w:tc>
          <w:tcPr>
            <w:tcW w:w="1576" w:type="dxa"/>
            <w:tcBorders>
              <w:top w:val="nil"/>
              <w:left w:val="nil"/>
              <w:bottom w:val="nil"/>
              <w:right w:val="nil"/>
            </w:tcBorders>
            <w:shd w:val="clear" w:color="auto" w:fill="auto"/>
            <w:noWrap/>
            <w:vAlign w:val="bottom"/>
          </w:tcPr>
          <w:p w:rsidR="004D35AC" w:rsidRPr="004D35AC" w:rsidRDefault="004D35AC" w:rsidP="00FD3B3B">
            <w:pPr>
              <w:rPr>
                <w:lang w:val="en-GB"/>
              </w:rPr>
            </w:pPr>
          </w:p>
        </w:tc>
      </w:tr>
    </w:tbl>
    <w:p w:rsidR="004907C3" w:rsidRDefault="004907C3" w:rsidP="00FD3B3B">
      <w:pPr>
        <w:pStyle w:val="Odrky"/>
        <w:numPr>
          <w:ilvl w:val="0"/>
          <w:numId w:val="0"/>
        </w:numPr>
        <w:rPr>
          <w:lang w:val="en-GB"/>
        </w:rPr>
      </w:pPr>
    </w:p>
    <w:p w:rsidR="001F77CA" w:rsidRDefault="001F77CA" w:rsidP="00FD3B3B">
      <w:pPr>
        <w:pStyle w:val="Odrky"/>
        <w:numPr>
          <w:ilvl w:val="0"/>
          <w:numId w:val="0"/>
        </w:numPr>
        <w:rPr>
          <w:rFonts w:cs="Arial"/>
          <w:b/>
          <w:szCs w:val="22"/>
          <w:lang w:val="en-GB"/>
        </w:rPr>
      </w:pPr>
      <w:r w:rsidRPr="00120B14">
        <w:rPr>
          <w:rFonts w:cs="Arial"/>
          <w:b/>
          <w:szCs w:val="22"/>
          <w:lang w:val="en-GB"/>
        </w:rPr>
        <w:t>Facts about the liberalization of the electricity market in Austria and how the libera</w:t>
      </w:r>
      <w:r w:rsidRPr="00120B14">
        <w:rPr>
          <w:rFonts w:cs="Arial"/>
          <w:b/>
          <w:szCs w:val="22"/>
          <w:lang w:val="en-GB"/>
        </w:rPr>
        <w:t>l</w:t>
      </w:r>
      <w:r w:rsidRPr="00120B14">
        <w:rPr>
          <w:rFonts w:cs="Arial"/>
          <w:b/>
          <w:szCs w:val="22"/>
          <w:lang w:val="en-GB"/>
        </w:rPr>
        <w:t>ized market is controlled</w:t>
      </w:r>
      <w:r>
        <w:rPr>
          <w:rFonts w:cs="Arial"/>
          <w:b/>
          <w:szCs w:val="22"/>
          <w:lang w:val="en-GB"/>
        </w:rPr>
        <w:t xml:space="preserve"> </w:t>
      </w:r>
    </w:p>
    <w:p w:rsidR="001F77CA" w:rsidRDefault="001F77CA" w:rsidP="00FD3B3B">
      <w:pPr>
        <w:pStyle w:val="Odrky"/>
        <w:numPr>
          <w:ilvl w:val="0"/>
          <w:numId w:val="0"/>
        </w:numPr>
        <w:rPr>
          <w:rFonts w:cs="Arial"/>
          <w:b/>
          <w:szCs w:val="22"/>
          <w:lang w:val="en-GB"/>
        </w:rPr>
      </w:pPr>
    </w:p>
    <w:p w:rsidR="001F77CA" w:rsidRPr="001F77CA" w:rsidRDefault="001F77CA" w:rsidP="00FD3B3B">
      <w:pPr>
        <w:pStyle w:val="Odrky"/>
        <w:numPr>
          <w:ilvl w:val="0"/>
          <w:numId w:val="0"/>
        </w:numPr>
        <w:rPr>
          <w:b/>
          <w:szCs w:val="22"/>
          <w:lang w:val="en-US"/>
        </w:rPr>
      </w:pPr>
      <w:r>
        <w:rPr>
          <w:rFonts w:cs="Arial"/>
          <w:lang w:val="en-GB"/>
        </w:rPr>
        <w:t>Austria is forced by the European law to adopt this European Directive as the Czech R</w:t>
      </w:r>
      <w:r>
        <w:rPr>
          <w:rFonts w:cs="Arial"/>
          <w:lang w:val="en-GB"/>
        </w:rPr>
        <w:t>e</w:t>
      </w:r>
      <w:r>
        <w:rPr>
          <w:rFonts w:cs="Arial"/>
          <w:lang w:val="en-GB"/>
        </w:rPr>
        <w:t xml:space="preserve">public. </w:t>
      </w:r>
      <w:r w:rsidRPr="004A5E03">
        <w:rPr>
          <w:rFonts w:cs="Arial"/>
          <w:lang w:val="en-GB"/>
        </w:rPr>
        <w:t>So in 1998 Austria included this directive in the Elektrizitaetswirtschafts- und –organisationsgesetz („EIWOG 1998”), which means in English about Electricity</w:t>
      </w:r>
      <w:r>
        <w:rPr>
          <w:rFonts w:cs="Arial"/>
          <w:lang w:val="en-GB"/>
        </w:rPr>
        <w:t xml:space="preserve"> Industry and Electricity Organisation law. The realization of the total libe</w:t>
      </w:r>
      <w:r w:rsidR="00FD3B3B">
        <w:rPr>
          <w:rFonts w:cs="Arial"/>
          <w:lang w:val="en-GB"/>
        </w:rPr>
        <w:t>ralization was planned by the 1</w:t>
      </w:r>
      <w:r w:rsidR="00FD3B3B" w:rsidRPr="00FD3B3B">
        <w:rPr>
          <w:rFonts w:cs="Arial"/>
          <w:vertAlign w:val="superscript"/>
          <w:lang w:val="en-GB"/>
        </w:rPr>
        <w:t>st</w:t>
      </w:r>
      <w:r w:rsidR="00FD3B3B">
        <w:rPr>
          <w:rFonts w:cs="Arial"/>
          <w:lang w:val="en-GB"/>
        </w:rPr>
        <w:t xml:space="preserve"> October</w:t>
      </w:r>
      <w:r>
        <w:rPr>
          <w:rFonts w:cs="Arial"/>
          <w:lang w:val="en-GB"/>
        </w:rPr>
        <w:t xml:space="preserve"> 2001. </w:t>
      </w:r>
      <w:r w:rsidR="00093876">
        <w:rPr>
          <w:rFonts w:cs="Arial"/>
          <w:lang w:val="en-GB"/>
        </w:rPr>
        <w:t>The</w:t>
      </w:r>
      <w:r>
        <w:rPr>
          <w:rFonts w:cs="Arial"/>
          <w:lang w:val="en-GB"/>
        </w:rPr>
        <w:t xml:space="preserve"> government hoped for an enforcing effect for the competitiv</w:t>
      </w:r>
      <w:r>
        <w:rPr>
          <w:rFonts w:cs="Arial"/>
          <w:lang w:val="en-GB"/>
        </w:rPr>
        <w:t>e</w:t>
      </w:r>
      <w:r>
        <w:rPr>
          <w:rFonts w:cs="Arial"/>
          <w:lang w:val="en-GB"/>
        </w:rPr>
        <w:t>ness of local companies on the domestic market and on markets abroad. Because of the de-regularization of the old market, regularization of the new market was needed. B</w:t>
      </w:r>
      <w:r>
        <w:rPr>
          <w:rFonts w:cs="Arial"/>
          <w:lang w:val="en-GB"/>
        </w:rPr>
        <w:t>e</w:t>
      </w:r>
      <w:r>
        <w:rPr>
          <w:rFonts w:cs="Arial"/>
          <w:lang w:val="en-GB"/>
        </w:rPr>
        <w:t>cause of the fact that the electricity grid was still in a monopolistic situation, the entry to this have to be regulated. Furthermore it has been in the competence of the new regular</w:t>
      </w:r>
      <w:r>
        <w:rPr>
          <w:rFonts w:cs="Arial"/>
          <w:lang w:val="en-GB"/>
        </w:rPr>
        <w:t>i</w:t>
      </w:r>
      <w:r>
        <w:rPr>
          <w:rFonts w:cs="Arial"/>
          <w:lang w:val="en-GB"/>
        </w:rPr>
        <w:t>zation that the former monopolists cannot exploit their former market power position. To give this change of the market sense it was inevitable to avoid competitive distortion for instance by cross-subsidization and to ensure a transparent market to the customers. In the extension of the EIWOG 1998, the EIWOG II, it has also been included an enviro</w:t>
      </w:r>
      <w:r>
        <w:rPr>
          <w:rFonts w:cs="Arial"/>
          <w:lang w:val="en-GB"/>
        </w:rPr>
        <w:t>n</w:t>
      </w:r>
      <w:r>
        <w:rPr>
          <w:rFonts w:cs="Arial"/>
          <w:lang w:val="en-GB"/>
        </w:rPr>
        <w:lastRenderedPageBreak/>
        <w:t>mental aspect. In the EIWOG II more subsidising of green alternative electricity has been guaranteed and also feed-in-tariffs has been regu</w:t>
      </w:r>
      <w:r w:rsidR="00F36AC1">
        <w:rPr>
          <w:rFonts w:cs="Arial"/>
          <w:lang w:val="en-GB"/>
        </w:rPr>
        <w:t>lated.</w:t>
      </w:r>
      <w:r w:rsidR="00F36AC1">
        <w:rPr>
          <w:rStyle w:val="Funotenzeichen"/>
          <w:rFonts w:cs="Arial"/>
          <w:lang w:val="en-GB"/>
        </w:rPr>
        <w:footnoteReference w:id="8"/>
      </w:r>
    </w:p>
    <w:p w:rsidR="001F77CA" w:rsidRPr="001358AF" w:rsidRDefault="001F77CA" w:rsidP="00FD3B3B">
      <w:pPr>
        <w:keepNext/>
        <w:tabs>
          <w:tab w:val="left" w:pos="680"/>
        </w:tabs>
        <w:suppressAutoHyphens/>
        <w:spacing w:before="240" w:line="24" w:lineRule="atLeast"/>
        <w:outlineLvl w:val="2"/>
        <w:rPr>
          <w:rFonts w:cs="Arial"/>
          <w:lang w:val="en-GB"/>
        </w:rPr>
      </w:pPr>
      <w:bookmarkStart w:id="24" w:name="_Toc295225008"/>
      <w:bookmarkStart w:id="25" w:name="_Toc295272699"/>
      <w:r>
        <w:rPr>
          <w:rFonts w:cs="Arial"/>
          <w:lang w:val="en-GB"/>
        </w:rPr>
        <w:t>After the liberalization also the supervision of the energy market has been new distributed.</w:t>
      </w:r>
      <w:r w:rsidR="00930CF1">
        <w:rPr>
          <w:rFonts w:cs="Arial"/>
          <w:lang w:val="en-GB"/>
        </w:rPr>
        <w:t xml:space="preserve"> The agency which is responsible for monitoring the electricity market is the Energie-Control GmbH (E-Control), which on the other hand is monitored by </w:t>
      </w:r>
      <w:r>
        <w:rPr>
          <w:rFonts w:cs="Arial"/>
          <w:lang w:val="en-GB"/>
        </w:rPr>
        <w:t>the Minister of Economy and Labour</w:t>
      </w:r>
      <w:r w:rsidR="00930CF1">
        <w:rPr>
          <w:rFonts w:cs="Arial"/>
          <w:lang w:val="en-GB"/>
        </w:rPr>
        <w:t xml:space="preserve"> and the </w:t>
      </w:r>
      <w:r>
        <w:rPr>
          <w:rFonts w:cs="Arial"/>
          <w:lang w:val="en-GB"/>
        </w:rPr>
        <w:t>E-Control Commission, which is an independent council, which is responsible for the general conditions of the grid operators. The commission also decides about appeals against decisions of the E-Control GmbH.</w:t>
      </w:r>
      <w:bookmarkEnd w:id="24"/>
      <w:r w:rsidR="00F36AC1">
        <w:rPr>
          <w:rStyle w:val="Funotenzeichen"/>
          <w:rFonts w:cs="Arial"/>
          <w:lang w:val="en-GB"/>
        </w:rPr>
        <w:footnoteReference w:id="9"/>
      </w:r>
      <w:bookmarkEnd w:id="25"/>
      <w:r>
        <w:rPr>
          <w:rFonts w:cs="Arial"/>
          <w:lang w:val="en-GB"/>
        </w:rPr>
        <w:t xml:space="preserve">  </w:t>
      </w:r>
    </w:p>
    <w:p w:rsidR="001F77CA" w:rsidRDefault="001F77CA" w:rsidP="00FD3B3B">
      <w:pPr>
        <w:keepNext/>
        <w:tabs>
          <w:tab w:val="left" w:pos="680"/>
        </w:tabs>
        <w:suppressAutoHyphens/>
        <w:spacing w:before="240" w:line="24" w:lineRule="atLeast"/>
        <w:outlineLvl w:val="2"/>
        <w:rPr>
          <w:rFonts w:cs="Arial"/>
          <w:lang w:val="en-GB"/>
        </w:rPr>
      </w:pPr>
      <w:bookmarkStart w:id="26" w:name="_Toc295225009"/>
      <w:bookmarkStart w:id="27" w:name="_Toc295272700"/>
      <w:r>
        <w:rPr>
          <w:rFonts w:cs="Arial"/>
          <w:lang w:val="en-GB"/>
        </w:rPr>
        <w:t>The E-Control itself has monitoring and oversight function. It can enforce its conveyed tasks by sovereignty. It is also integrated, as the Austrian representative, by international collaborations concerning energy. E-Control also does public relations which helps to make disadvantages and advantages of the market liberalization transparent.</w:t>
      </w:r>
      <w:bookmarkEnd w:id="26"/>
      <w:r w:rsidR="00F36AC1">
        <w:rPr>
          <w:rStyle w:val="Funotenzeichen"/>
          <w:rFonts w:cs="Arial"/>
          <w:lang w:val="en-GB"/>
        </w:rPr>
        <w:footnoteReference w:id="10"/>
      </w:r>
      <w:bookmarkEnd w:id="27"/>
    </w:p>
    <w:p w:rsidR="008F72B5" w:rsidRDefault="008F72B5" w:rsidP="00FD3B3B">
      <w:pPr>
        <w:pStyle w:val="Odrky"/>
        <w:numPr>
          <w:ilvl w:val="0"/>
          <w:numId w:val="0"/>
        </w:numPr>
        <w:rPr>
          <w:rFonts w:cs="Arial"/>
          <w:b/>
          <w:szCs w:val="22"/>
          <w:lang w:val="en-GB"/>
        </w:rPr>
      </w:pPr>
    </w:p>
    <w:p w:rsidR="008F72B5" w:rsidRDefault="008F72B5" w:rsidP="00FD3B3B">
      <w:pPr>
        <w:pStyle w:val="Odrky"/>
        <w:numPr>
          <w:ilvl w:val="0"/>
          <w:numId w:val="0"/>
        </w:numPr>
        <w:rPr>
          <w:rFonts w:cs="Arial"/>
          <w:b/>
          <w:szCs w:val="22"/>
          <w:lang w:val="en-GB"/>
        </w:rPr>
      </w:pPr>
      <w:r w:rsidRPr="00120B14">
        <w:rPr>
          <w:rFonts w:cs="Arial"/>
          <w:b/>
          <w:szCs w:val="22"/>
          <w:lang w:val="en-GB"/>
        </w:rPr>
        <w:t>Facts about the liberalization of t</w:t>
      </w:r>
      <w:r>
        <w:rPr>
          <w:rFonts w:cs="Arial"/>
          <w:b/>
          <w:szCs w:val="22"/>
          <w:lang w:val="en-GB"/>
        </w:rPr>
        <w:t>he electricity market in the Czech Republic</w:t>
      </w:r>
      <w:r w:rsidRPr="00120B14">
        <w:rPr>
          <w:rFonts w:cs="Arial"/>
          <w:b/>
          <w:szCs w:val="22"/>
          <w:lang w:val="en-GB"/>
        </w:rPr>
        <w:t xml:space="preserve"> and how the liberalized market is controlled</w:t>
      </w:r>
    </w:p>
    <w:p w:rsidR="008F72B5" w:rsidRDefault="007E6606" w:rsidP="00FD3B3B">
      <w:pPr>
        <w:keepNext/>
        <w:tabs>
          <w:tab w:val="left" w:pos="680"/>
        </w:tabs>
        <w:suppressAutoHyphens/>
        <w:spacing w:before="240" w:line="24" w:lineRule="atLeast"/>
        <w:outlineLvl w:val="2"/>
        <w:rPr>
          <w:rFonts w:cs="Arial"/>
          <w:lang w:val="en-GB"/>
        </w:rPr>
      </w:pPr>
      <w:bookmarkStart w:id="28" w:name="_Toc295225010"/>
      <w:bookmarkStart w:id="29" w:name="_Toc295272701"/>
      <w:r>
        <w:rPr>
          <w:rFonts w:cs="Arial"/>
          <w:lang w:val="en-GB"/>
        </w:rPr>
        <w:t>Directive 96/92/EC was incorporated into Czech law in 2000.</w:t>
      </w:r>
      <w:r w:rsidR="008166C9">
        <w:rPr>
          <w:rFonts w:cs="Arial"/>
          <w:lang w:val="en-GB"/>
        </w:rPr>
        <w:t xml:space="preserve"> Directive 458/2000 scheduled a market opening into a few phases. In the first phase it was opened only to </w:t>
      </w:r>
      <w:r w:rsidR="002A1C60">
        <w:rPr>
          <w:rFonts w:cs="Arial"/>
          <w:lang w:val="en-GB"/>
        </w:rPr>
        <w:t>the biggest customers. EU D</w:t>
      </w:r>
      <w:r w:rsidR="008166C9">
        <w:rPr>
          <w:rFonts w:cs="Arial"/>
          <w:lang w:val="en-GB"/>
        </w:rPr>
        <w:t xml:space="preserve">irective </w:t>
      </w:r>
      <w:r w:rsidR="00FE48D7">
        <w:rPr>
          <w:rFonts w:cs="Arial"/>
          <w:lang w:val="en-GB"/>
        </w:rPr>
        <w:t>2003/54/EC commanded European countries to open electricity market for all users till July 2007. The Czech Republic met the duty to 1</w:t>
      </w:r>
      <w:r w:rsidR="00FE48D7" w:rsidRPr="00FE48D7">
        <w:rPr>
          <w:rFonts w:cs="Arial"/>
          <w:vertAlign w:val="superscript"/>
          <w:lang w:val="en-GB"/>
        </w:rPr>
        <w:t>st</w:t>
      </w:r>
      <w:r w:rsidR="00FE48D7">
        <w:rPr>
          <w:rFonts w:cs="Arial"/>
          <w:lang w:val="en-GB"/>
        </w:rPr>
        <w:t xml:space="preserve"> of January 2006.</w:t>
      </w:r>
      <w:bookmarkEnd w:id="28"/>
      <w:bookmarkEnd w:id="29"/>
    </w:p>
    <w:p w:rsidR="00450BBA" w:rsidRDefault="00B0389A" w:rsidP="00FD3B3B">
      <w:pPr>
        <w:keepNext/>
        <w:tabs>
          <w:tab w:val="left" w:pos="680"/>
        </w:tabs>
        <w:suppressAutoHyphens/>
        <w:spacing w:before="240" w:line="24" w:lineRule="atLeast"/>
        <w:outlineLvl w:val="2"/>
        <w:rPr>
          <w:rFonts w:cs="Arial"/>
          <w:lang w:val="en-GB"/>
        </w:rPr>
      </w:pPr>
      <w:bookmarkStart w:id="30" w:name="_Toc295225011"/>
      <w:bookmarkStart w:id="31" w:name="_Toc295272702"/>
      <w:r w:rsidRPr="00B0389A">
        <w:rPr>
          <w:rFonts w:cs="Arial"/>
          <w:lang w:val="en-GB"/>
        </w:rPr>
        <w:t xml:space="preserve">The table </w:t>
      </w:r>
      <w:r w:rsidR="00450BBA">
        <w:rPr>
          <w:rFonts w:cs="Arial"/>
          <w:lang w:val="en-GB"/>
        </w:rPr>
        <w:t xml:space="preserve">1 </w:t>
      </w:r>
      <w:r w:rsidRPr="00B0389A">
        <w:rPr>
          <w:rFonts w:cs="Arial"/>
          <w:lang w:val="en-GB"/>
        </w:rPr>
        <w:t>shows the cou</w:t>
      </w:r>
      <w:r w:rsidR="00450BBA">
        <w:rPr>
          <w:rFonts w:cs="Arial"/>
          <w:lang w:val="en-GB"/>
        </w:rPr>
        <w:t>nt of Point of Deliveries (PoD)</w:t>
      </w:r>
      <w:r w:rsidRPr="00B0389A">
        <w:rPr>
          <w:rFonts w:cs="Arial"/>
          <w:lang w:val="en-GB"/>
        </w:rPr>
        <w:t xml:space="preserve"> where was finished a process of supplier change:</w:t>
      </w:r>
      <w:bookmarkEnd w:id="30"/>
      <w:bookmarkEnd w:id="31"/>
    </w:p>
    <w:p w:rsidR="00F36AC1" w:rsidRDefault="00F36AC1" w:rsidP="00FD3B3B">
      <w:pPr>
        <w:keepNext/>
        <w:tabs>
          <w:tab w:val="left" w:pos="680"/>
        </w:tabs>
        <w:suppressAutoHyphens/>
        <w:spacing w:before="240" w:line="24" w:lineRule="atLeast"/>
        <w:outlineLvl w:val="2"/>
        <w:rPr>
          <w:rFonts w:cs="Arial"/>
          <w:lang w:val="en-GB"/>
        </w:rPr>
      </w:pPr>
    </w:p>
    <w:tbl>
      <w:tblPr>
        <w:tblW w:w="8898" w:type="dxa"/>
        <w:tblInd w:w="56" w:type="dxa"/>
        <w:tblCellMar>
          <w:left w:w="70" w:type="dxa"/>
          <w:right w:w="70" w:type="dxa"/>
        </w:tblCellMar>
        <w:tblLook w:val="04A0"/>
      </w:tblPr>
      <w:tblGrid>
        <w:gridCol w:w="610"/>
        <w:gridCol w:w="677"/>
        <w:gridCol w:w="677"/>
        <w:gridCol w:w="718"/>
        <w:gridCol w:w="870"/>
        <w:gridCol w:w="1031"/>
        <w:gridCol w:w="913"/>
        <w:gridCol w:w="897"/>
        <w:gridCol w:w="992"/>
        <w:gridCol w:w="1513"/>
      </w:tblGrid>
      <w:tr w:rsidR="00B0389A" w:rsidRPr="00B0389A" w:rsidTr="006243BE">
        <w:trPr>
          <w:trHeight w:val="584"/>
        </w:trPr>
        <w:tc>
          <w:tcPr>
            <w:tcW w:w="6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0389A" w:rsidRPr="00B0389A" w:rsidRDefault="00B0389A" w:rsidP="00FD3B3B">
            <w:pPr>
              <w:spacing w:before="0" w:after="0" w:line="240" w:lineRule="auto"/>
              <w:rPr>
                <w:rFonts w:eastAsia="Times New Roman" w:cs="Arial"/>
                <w:color w:val="000000"/>
                <w:szCs w:val="22"/>
                <w:lang w:eastAsia="cs-CZ"/>
              </w:rPr>
            </w:pPr>
            <w:r>
              <w:rPr>
                <w:rFonts w:eastAsia="Times New Roman" w:cs="Arial"/>
                <w:color w:val="000000"/>
                <w:szCs w:val="22"/>
                <w:lang w:eastAsia="cs-CZ"/>
              </w:rPr>
              <w:t>Y</w:t>
            </w:r>
            <w:r w:rsidRPr="00B0389A">
              <w:rPr>
                <w:rFonts w:eastAsia="Times New Roman" w:cs="Arial"/>
                <w:color w:val="000000"/>
                <w:szCs w:val="22"/>
                <w:lang w:eastAsia="cs-CZ"/>
              </w:rPr>
              <w:t>ear</w:t>
            </w:r>
          </w:p>
        </w:tc>
        <w:tc>
          <w:tcPr>
            <w:tcW w:w="677" w:type="dxa"/>
            <w:tcBorders>
              <w:top w:val="single" w:sz="4" w:space="0" w:color="auto"/>
              <w:left w:val="nil"/>
              <w:bottom w:val="single" w:sz="4" w:space="0" w:color="auto"/>
              <w:right w:val="single" w:sz="4" w:space="0" w:color="auto"/>
            </w:tcBorders>
            <w:shd w:val="clear" w:color="auto" w:fill="auto"/>
            <w:noWrap/>
            <w:vAlign w:val="center"/>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2003</w:t>
            </w:r>
          </w:p>
        </w:tc>
        <w:tc>
          <w:tcPr>
            <w:tcW w:w="677" w:type="dxa"/>
            <w:tcBorders>
              <w:top w:val="single" w:sz="4" w:space="0" w:color="auto"/>
              <w:left w:val="nil"/>
              <w:bottom w:val="single" w:sz="4" w:space="0" w:color="auto"/>
              <w:right w:val="single" w:sz="4" w:space="0" w:color="auto"/>
            </w:tcBorders>
            <w:shd w:val="clear" w:color="auto" w:fill="auto"/>
            <w:noWrap/>
            <w:vAlign w:val="center"/>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2004</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2005</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2006</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2007</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2008</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2009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2010</w:t>
            </w:r>
          </w:p>
        </w:tc>
        <w:tc>
          <w:tcPr>
            <w:tcW w:w="1513" w:type="dxa"/>
            <w:tcBorders>
              <w:top w:val="single" w:sz="4" w:space="0" w:color="auto"/>
              <w:left w:val="nil"/>
              <w:bottom w:val="single" w:sz="4" w:space="0" w:color="auto"/>
              <w:right w:val="single" w:sz="8" w:space="0" w:color="auto"/>
            </w:tcBorders>
            <w:shd w:val="clear" w:color="auto" w:fill="auto"/>
            <w:vAlign w:val="center"/>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2011</w:t>
            </w:r>
            <w:r w:rsidRPr="00B0389A">
              <w:rPr>
                <w:rFonts w:eastAsia="Times New Roman" w:cs="Arial"/>
                <w:color w:val="000000"/>
                <w:szCs w:val="22"/>
                <w:lang w:eastAsia="cs-CZ"/>
              </w:rPr>
              <w:br/>
            </w:r>
            <w:r w:rsidRPr="00B0389A">
              <w:rPr>
                <w:rFonts w:eastAsia="Times New Roman" w:cs="Arial"/>
                <w:color w:val="000000"/>
                <w:sz w:val="16"/>
                <w:szCs w:val="22"/>
                <w:lang w:eastAsia="cs-CZ"/>
              </w:rPr>
              <w:t>(till the end of May)</w:t>
            </w:r>
          </w:p>
        </w:tc>
      </w:tr>
      <w:tr w:rsidR="00B0389A" w:rsidRPr="00B0389A" w:rsidTr="00B0389A">
        <w:trPr>
          <w:trHeight w:val="307"/>
        </w:trPr>
        <w:tc>
          <w:tcPr>
            <w:tcW w:w="610" w:type="dxa"/>
            <w:tcBorders>
              <w:top w:val="nil"/>
              <w:left w:val="single" w:sz="8" w:space="0" w:color="auto"/>
              <w:bottom w:val="single" w:sz="8" w:space="0" w:color="auto"/>
              <w:right w:val="single" w:sz="4" w:space="0" w:color="auto"/>
            </w:tcBorders>
            <w:shd w:val="clear" w:color="auto" w:fill="auto"/>
            <w:noWrap/>
            <w:vAlign w:val="bottom"/>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w:t>
            </w:r>
          </w:p>
        </w:tc>
        <w:tc>
          <w:tcPr>
            <w:tcW w:w="677" w:type="dxa"/>
            <w:tcBorders>
              <w:top w:val="nil"/>
              <w:left w:val="nil"/>
              <w:bottom w:val="single" w:sz="8" w:space="0" w:color="auto"/>
              <w:right w:val="single" w:sz="4" w:space="0" w:color="auto"/>
            </w:tcBorders>
            <w:shd w:val="clear" w:color="auto" w:fill="auto"/>
            <w:noWrap/>
            <w:vAlign w:val="bottom"/>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16</w:t>
            </w:r>
          </w:p>
        </w:tc>
        <w:tc>
          <w:tcPr>
            <w:tcW w:w="677" w:type="dxa"/>
            <w:tcBorders>
              <w:top w:val="nil"/>
              <w:left w:val="nil"/>
              <w:bottom w:val="single" w:sz="8" w:space="0" w:color="auto"/>
              <w:right w:val="single" w:sz="4" w:space="0" w:color="auto"/>
            </w:tcBorders>
            <w:shd w:val="clear" w:color="auto" w:fill="auto"/>
            <w:noWrap/>
            <w:vAlign w:val="bottom"/>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399</w:t>
            </w:r>
          </w:p>
        </w:tc>
        <w:tc>
          <w:tcPr>
            <w:tcW w:w="718" w:type="dxa"/>
            <w:tcBorders>
              <w:top w:val="nil"/>
              <w:left w:val="nil"/>
              <w:bottom w:val="single" w:sz="8" w:space="0" w:color="auto"/>
              <w:right w:val="single" w:sz="4" w:space="0" w:color="auto"/>
            </w:tcBorders>
            <w:shd w:val="clear" w:color="auto" w:fill="auto"/>
            <w:noWrap/>
            <w:vAlign w:val="bottom"/>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3 511</w:t>
            </w:r>
          </w:p>
        </w:tc>
        <w:tc>
          <w:tcPr>
            <w:tcW w:w="870" w:type="dxa"/>
            <w:tcBorders>
              <w:top w:val="nil"/>
              <w:left w:val="nil"/>
              <w:bottom w:val="single" w:sz="8" w:space="0" w:color="auto"/>
              <w:right w:val="single" w:sz="4" w:space="0" w:color="auto"/>
            </w:tcBorders>
            <w:shd w:val="clear" w:color="auto" w:fill="auto"/>
            <w:noWrap/>
            <w:vAlign w:val="bottom"/>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13 150</w:t>
            </w:r>
          </w:p>
        </w:tc>
        <w:tc>
          <w:tcPr>
            <w:tcW w:w="1031" w:type="dxa"/>
            <w:tcBorders>
              <w:top w:val="nil"/>
              <w:left w:val="nil"/>
              <w:bottom w:val="single" w:sz="8" w:space="0" w:color="auto"/>
              <w:right w:val="single" w:sz="4" w:space="0" w:color="auto"/>
            </w:tcBorders>
            <w:shd w:val="clear" w:color="auto" w:fill="auto"/>
            <w:noWrap/>
            <w:vAlign w:val="bottom"/>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46 016</w:t>
            </w:r>
          </w:p>
        </w:tc>
        <w:tc>
          <w:tcPr>
            <w:tcW w:w="913" w:type="dxa"/>
            <w:tcBorders>
              <w:top w:val="nil"/>
              <w:left w:val="nil"/>
              <w:bottom w:val="single" w:sz="8" w:space="0" w:color="auto"/>
              <w:right w:val="single" w:sz="4" w:space="0" w:color="auto"/>
            </w:tcBorders>
            <w:shd w:val="clear" w:color="auto" w:fill="auto"/>
            <w:noWrap/>
            <w:vAlign w:val="bottom"/>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57 689</w:t>
            </w:r>
          </w:p>
        </w:tc>
        <w:tc>
          <w:tcPr>
            <w:tcW w:w="897" w:type="dxa"/>
            <w:tcBorders>
              <w:top w:val="nil"/>
              <w:left w:val="nil"/>
              <w:bottom w:val="single" w:sz="8" w:space="0" w:color="auto"/>
              <w:right w:val="single" w:sz="4" w:space="0" w:color="auto"/>
            </w:tcBorders>
            <w:shd w:val="clear" w:color="auto" w:fill="auto"/>
            <w:noWrap/>
            <w:vAlign w:val="bottom"/>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96 744</w:t>
            </w:r>
          </w:p>
        </w:tc>
        <w:tc>
          <w:tcPr>
            <w:tcW w:w="992" w:type="dxa"/>
            <w:tcBorders>
              <w:top w:val="nil"/>
              <w:left w:val="nil"/>
              <w:bottom w:val="single" w:sz="8" w:space="0" w:color="auto"/>
              <w:right w:val="single" w:sz="4" w:space="0" w:color="auto"/>
            </w:tcBorders>
            <w:shd w:val="clear" w:color="auto" w:fill="auto"/>
            <w:noWrap/>
            <w:vAlign w:val="bottom"/>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249 181</w:t>
            </w:r>
          </w:p>
        </w:tc>
        <w:tc>
          <w:tcPr>
            <w:tcW w:w="1513" w:type="dxa"/>
            <w:tcBorders>
              <w:top w:val="nil"/>
              <w:left w:val="nil"/>
              <w:bottom w:val="single" w:sz="8" w:space="0" w:color="auto"/>
              <w:right w:val="single" w:sz="8" w:space="0" w:color="auto"/>
            </w:tcBorders>
            <w:shd w:val="clear" w:color="auto" w:fill="auto"/>
            <w:noWrap/>
            <w:vAlign w:val="bottom"/>
            <w:hideMark/>
          </w:tcPr>
          <w:p w:rsidR="00B0389A" w:rsidRPr="00B0389A" w:rsidRDefault="00B0389A" w:rsidP="00FD3B3B">
            <w:pPr>
              <w:spacing w:before="0" w:after="0" w:line="240" w:lineRule="auto"/>
              <w:rPr>
                <w:rFonts w:eastAsia="Times New Roman" w:cs="Arial"/>
                <w:color w:val="000000"/>
                <w:szCs w:val="22"/>
                <w:lang w:eastAsia="cs-CZ"/>
              </w:rPr>
            </w:pPr>
            <w:r w:rsidRPr="00B0389A">
              <w:rPr>
                <w:rFonts w:eastAsia="Times New Roman" w:cs="Arial"/>
                <w:color w:val="000000"/>
                <w:szCs w:val="22"/>
                <w:lang w:eastAsia="cs-CZ"/>
              </w:rPr>
              <w:t>204 142</w:t>
            </w:r>
          </w:p>
        </w:tc>
      </w:tr>
    </w:tbl>
    <w:p w:rsidR="00FE48D7" w:rsidRPr="00450BBA" w:rsidRDefault="00450BBA" w:rsidP="00FD3B3B">
      <w:pPr>
        <w:keepNext/>
        <w:tabs>
          <w:tab w:val="left" w:pos="680"/>
        </w:tabs>
        <w:suppressAutoHyphens/>
        <w:spacing w:before="240" w:line="24" w:lineRule="atLeast"/>
        <w:outlineLvl w:val="2"/>
        <w:rPr>
          <w:rFonts w:cs="Arial"/>
          <w:i/>
          <w:sz w:val="20"/>
          <w:lang w:val="en-GB"/>
        </w:rPr>
      </w:pPr>
      <w:bookmarkStart w:id="32" w:name="_Toc295225012"/>
      <w:bookmarkStart w:id="33" w:name="_Toc295272703"/>
      <w:r w:rsidRPr="00450BBA">
        <w:rPr>
          <w:rFonts w:cs="Arial"/>
          <w:i/>
          <w:sz w:val="20"/>
          <w:lang w:val="en-GB"/>
        </w:rPr>
        <w:t>Table 1: Supplier changes in ele</w:t>
      </w:r>
      <w:r>
        <w:rPr>
          <w:rFonts w:cs="Arial"/>
          <w:i/>
          <w:sz w:val="20"/>
          <w:lang w:val="en-GB"/>
        </w:rPr>
        <w:t>ctricity market in CZ 2003-2011</w:t>
      </w:r>
      <w:r>
        <w:rPr>
          <w:rFonts w:cs="Arial"/>
          <w:i/>
          <w:sz w:val="20"/>
          <w:lang w:val="en-GB"/>
        </w:rPr>
        <w:tab/>
      </w:r>
      <w:r>
        <w:rPr>
          <w:rFonts w:cs="Arial"/>
          <w:i/>
          <w:sz w:val="20"/>
          <w:lang w:val="en-GB"/>
        </w:rPr>
        <w:tab/>
      </w:r>
      <w:r w:rsidR="00B0389A" w:rsidRPr="00450BBA">
        <w:rPr>
          <w:rFonts w:cs="Arial"/>
          <w:i/>
          <w:sz w:val="20"/>
          <w:lang w:val="en-GB"/>
        </w:rPr>
        <w:t>Source: www.ote-cr.cz</w:t>
      </w:r>
      <w:bookmarkEnd w:id="32"/>
      <w:bookmarkEnd w:id="33"/>
    </w:p>
    <w:p w:rsidR="008F72B5" w:rsidRDefault="00A57383" w:rsidP="00FD3B3B">
      <w:pPr>
        <w:keepNext/>
        <w:tabs>
          <w:tab w:val="left" w:pos="680"/>
        </w:tabs>
        <w:suppressAutoHyphens/>
        <w:spacing w:before="240" w:line="24" w:lineRule="atLeast"/>
        <w:outlineLvl w:val="2"/>
        <w:rPr>
          <w:rFonts w:cs="Arial"/>
          <w:lang w:val="en-GB"/>
        </w:rPr>
      </w:pPr>
      <w:bookmarkStart w:id="34" w:name="_Toc295225013"/>
      <w:r w:rsidRPr="00A57383">
        <w:rPr>
          <w:noProof/>
        </w:rPr>
        <w:pict>
          <v:shape id="_x0000_s1039" type="#_x0000_t75" style="position:absolute;left:0;text-align:left;margin-left:169.7pt;margin-top:15.4pt;width:267.75pt;height:169.2pt;z-index:-1" wrapcoords="14496 380 7584 913 6816 1065 6864 1597 6144 2814 5664 2890 4080 3803 3264 4792 2976 5172 1632 5628 192 6313 96 6693 96 7301 192 7910 1104 10115 960 10496 864 10952 912 11332 1680 13766 2736 14983 3552 16504 4128 17417 4320 17417 5808 19851 5856 20155 6336 20459 6720 20459 7296 20459 7680 20459 8400 20079 14832 19851 15984 19699 15888 18634 16368 18634 18144 17645 18192 17417 19104 16276 19104 16200 19296 14983 20160 13766 21264 12549 21408 11180 21120 10648 20688 10115 20736 9659 20304 8899 20016 8823 18768 8138 17664 7682 17856 6769 17856 6237 15456 5552 13584 5248 13584 4259 15984 4031 19440 3346 19488 1749 19104 1673 15216 1597 19296 1217 19296 608 15216 380 14496 380">
            <v:imagedata r:id="rId18" o:title="mapa-distribuceenergie"/>
            <w10:wrap type="square"/>
          </v:shape>
        </w:pict>
      </w:r>
      <w:bookmarkStart w:id="35" w:name="_Toc295272704"/>
      <w:r w:rsidR="0007328C">
        <w:rPr>
          <w:rFonts w:cs="Arial"/>
          <w:lang w:val="en-GB"/>
        </w:rPr>
        <w:t>We can see that hundreds of thousands users took advantage of</w:t>
      </w:r>
      <w:r w:rsidR="00230FD4">
        <w:rPr>
          <w:rFonts w:cs="Arial"/>
          <w:lang w:val="en-GB"/>
        </w:rPr>
        <w:t xml:space="preserve"> the option. The process of supplier change takes three</w:t>
      </w:r>
      <w:r w:rsidR="0007328C">
        <w:rPr>
          <w:rFonts w:cs="Arial"/>
          <w:lang w:val="en-GB"/>
        </w:rPr>
        <w:t xml:space="preserve"> months and new supplier handles it.</w:t>
      </w:r>
      <w:bookmarkEnd w:id="34"/>
      <w:bookmarkEnd w:id="35"/>
    </w:p>
    <w:p w:rsidR="00F37BFD" w:rsidRDefault="00C024A4" w:rsidP="00FD3B3B">
      <w:pPr>
        <w:keepNext/>
        <w:tabs>
          <w:tab w:val="left" w:pos="680"/>
        </w:tabs>
        <w:suppressAutoHyphens/>
        <w:spacing w:before="240" w:line="24" w:lineRule="atLeast"/>
        <w:outlineLvl w:val="2"/>
        <w:rPr>
          <w:rFonts w:cs="Arial"/>
          <w:lang w:val="en-GB"/>
        </w:rPr>
      </w:pPr>
      <w:bookmarkStart w:id="36" w:name="_Toc295225014"/>
      <w:bookmarkStart w:id="37" w:name="_Toc295272705"/>
      <w:r>
        <w:rPr>
          <w:rFonts w:cs="Arial"/>
          <w:lang w:val="en-GB"/>
        </w:rPr>
        <w:t xml:space="preserve">There is one company operating Transmission System of the Czech Republic (CEPS). Its task is to ensure electricity transmission and balance between electricity generation </w:t>
      </w:r>
      <w:r w:rsidR="002A1C60">
        <w:rPr>
          <w:rFonts w:cs="Arial"/>
          <w:lang w:val="en-GB"/>
        </w:rPr>
        <w:lastRenderedPageBreak/>
        <w:t xml:space="preserve">and consumption, as </w:t>
      </w:r>
      <w:r w:rsidR="00F37BFD">
        <w:rPr>
          <w:rFonts w:cs="Arial"/>
          <w:lang w:val="en-GB"/>
        </w:rPr>
        <w:t>well as for gas infrastructure.</w:t>
      </w:r>
      <w:bookmarkEnd w:id="36"/>
      <w:bookmarkEnd w:id="37"/>
    </w:p>
    <w:p w:rsidR="0049453D" w:rsidRDefault="0049453D" w:rsidP="00FD3B3B">
      <w:pPr>
        <w:keepNext/>
        <w:tabs>
          <w:tab w:val="left" w:pos="680"/>
        </w:tabs>
        <w:suppressAutoHyphens/>
        <w:spacing w:before="240" w:line="24" w:lineRule="atLeast"/>
        <w:outlineLvl w:val="2"/>
        <w:rPr>
          <w:rFonts w:cs="Arial"/>
          <w:lang w:val="en-GB"/>
        </w:rPr>
      </w:pPr>
      <w:bookmarkStart w:id="38" w:name="_Toc295225015"/>
      <w:bookmarkStart w:id="39" w:name="_Toc295272706"/>
      <w:r>
        <w:rPr>
          <w:rFonts w:cs="Arial"/>
          <w:lang w:val="en-GB"/>
        </w:rPr>
        <w:t>There are three main distribution systems operators (</w:t>
      </w:r>
      <w:r>
        <w:rPr>
          <w:rFonts w:cs="Arial"/>
        </w:rPr>
        <w:t>ČEZ, E.ON, PRE</w:t>
      </w:r>
      <w:r>
        <w:rPr>
          <w:rFonts w:cs="Arial"/>
          <w:lang w:val="en-GB"/>
        </w:rPr>
        <w:t>).</w:t>
      </w:r>
      <w:bookmarkEnd w:id="38"/>
      <w:bookmarkEnd w:id="39"/>
      <w:r>
        <w:rPr>
          <w:rFonts w:cs="Arial"/>
          <w:lang w:val="en-GB"/>
        </w:rPr>
        <w:t xml:space="preserve"> </w:t>
      </w:r>
    </w:p>
    <w:p w:rsidR="0049453D" w:rsidRDefault="0049453D" w:rsidP="00FD3B3B">
      <w:pPr>
        <w:keepNext/>
        <w:tabs>
          <w:tab w:val="left" w:pos="680"/>
        </w:tabs>
        <w:suppressAutoHyphens/>
        <w:spacing w:before="240" w:line="24" w:lineRule="atLeast"/>
        <w:outlineLvl w:val="2"/>
        <w:rPr>
          <w:rFonts w:cs="Arial"/>
          <w:lang w:val="en-GB"/>
        </w:rPr>
      </w:pPr>
      <w:bookmarkStart w:id="40" w:name="_Toc295225016"/>
      <w:bookmarkStart w:id="41" w:name="_Toc295272707"/>
      <w:r>
        <w:rPr>
          <w:rStyle w:val="apple-style-span"/>
          <w:rFonts w:cs="Arial"/>
          <w:color w:val="333333"/>
        </w:rPr>
        <w:t>An administrative authority for regulation in the energy sector is The Energy Regulatory Office (ER</w:t>
      </w:r>
      <w:r w:rsidR="00135114">
        <w:rPr>
          <w:rStyle w:val="apple-style-span"/>
          <w:rFonts w:cs="Arial"/>
          <w:color w:val="333333"/>
        </w:rPr>
        <w:t>Ú</w:t>
      </w:r>
      <w:r>
        <w:rPr>
          <w:rStyle w:val="apple-style-span"/>
          <w:rFonts w:cs="Arial"/>
          <w:color w:val="333333"/>
        </w:rPr>
        <w:t>)</w:t>
      </w:r>
      <w:r w:rsidR="00135114">
        <w:rPr>
          <w:rStyle w:val="apple-style-span"/>
          <w:rFonts w:cs="Arial"/>
          <w:color w:val="333333"/>
        </w:rPr>
        <w:t>.</w:t>
      </w:r>
      <w:r w:rsidR="00EC1213">
        <w:rPr>
          <w:rStyle w:val="apple-style-span"/>
          <w:rFonts w:cs="Arial"/>
          <w:color w:val="333333"/>
        </w:rPr>
        <w:t xml:space="preserve"> For electricity market and gas sector as well.</w:t>
      </w:r>
      <w:bookmarkEnd w:id="40"/>
      <w:bookmarkEnd w:id="41"/>
    </w:p>
    <w:p w:rsidR="00722034" w:rsidRDefault="004041EB" w:rsidP="00FD3B3B">
      <w:pPr>
        <w:pStyle w:val="berschrift1"/>
        <w:jc w:val="both"/>
        <w:rPr>
          <w:lang w:val="en-GB"/>
        </w:rPr>
      </w:pPr>
      <w:bookmarkStart w:id="42" w:name="_Toc293390663"/>
      <w:bookmarkStart w:id="43" w:name="_Toc295272708"/>
      <w:r>
        <w:rPr>
          <w:lang w:val="en-GB"/>
        </w:rPr>
        <w:t>3</w:t>
      </w:r>
      <w:r w:rsidR="00CD7A16">
        <w:rPr>
          <w:lang w:val="en-GB"/>
        </w:rPr>
        <w:t>.</w:t>
      </w:r>
      <w:r w:rsidR="001F77CA">
        <w:rPr>
          <w:lang w:val="en-GB"/>
        </w:rPr>
        <w:tab/>
      </w:r>
      <w:r w:rsidR="001F77CA" w:rsidRPr="001F77CA">
        <w:rPr>
          <w:szCs w:val="22"/>
          <w:lang w:val="en-GB"/>
        </w:rPr>
        <w:t xml:space="preserve"> The way to a liberalized gas market</w:t>
      </w:r>
      <w:bookmarkEnd w:id="42"/>
      <w:bookmarkEnd w:id="43"/>
    </w:p>
    <w:p w:rsidR="001F77CA" w:rsidRDefault="001F77CA" w:rsidP="00FD3B3B">
      <w:pPr>
        <w:keepNext/>
        <w:tabs>
          <w:tab w:val="left" w:pos="680"/>
        </w:tabs>
        <w:suppressAutoHyphens/>
        <w:spacing w:before="240" w:line="24" w:lineRule="atLeast"/>
        <w:outlineLvl w:val="2"/>
        <w:rPr>
          <w:rFonts w:cs="Arial"/>
          <w:lang w:val="en-GB"/>
        </w:rPr>
      </w:pPr>
      <w:bookmarkStart w:id="44" w:name="_Toc295225018"/>
      <w:bookmarkStart w:id="45" w:name="_Toc295272709"/>
      <w:r>
        <w:rPr>
          <w:rFonts w:cs="Arial"/>
          <w:lang w:val="en-GB"/>
        </w:rPr>
        <w:t>Now the text gives a short overview of another important energy source, gas.</w:t>
      </w:r>
      <w:bookmarkEnd w:id="44"/>
      <w:bookmarkEnd w:id="45"/>
    </w:p>
    <w:p w:rsidR="00E163C1" w:rsidRPr="001F77CA" w:rsidRDefault="00E163C1" w:rsidP="00FD3B3B">
      <w:pPr>
        <w:rPr>
          <w:lang w:val="en-GB"/>
        </w:rPr>
      </w:pPr>
    </w:p>
    <w:p w:rsidR="001F77CA" w:rsidRDefault="001F77CA" w:rsidP="00FD3B3B">
      <w:pPr>
        <w:rPr>
          <w:rFonts w:cs="Arial"/>
          <w:b/>
          <w:szCs w:val="22"/>
          <w:lang w:val="en-GB"/>
        </w:rPr>
      </w:pPr>
      <w:r w:rsidRPr="00120B14">
        <w:rPr>
          <w:rFonts w:cs="Arial"/>
          <w:b/>
          <w:szCs w:val="22"/>
          <w:lang w:val="en-GB"/>
        </w:rPr>
        <w:t>Facts about the liberalization of the gas market in Austria and how the l</w:t>
      </w:r>
      <w:r w:rsidR="00135114">
        <w:rPr>
          <w:rFonts w:cs="Arial"/>
          <w:b/>
          <w:szCs w:val="22"/>
          <w:lang w:val="en-GB"/>
        </w:rPr>
        <w:t>iberalized market is controlled</w:t>
      </w:r>
    </w:p>
    <w:p w:rsidR="001F77CA" w:rsidRDefault="001F77CA" w:rsidP="00FD3B3B">
      <w:pPr>
        <w:keepNext/>
        <w:tabs>
          <w:tab w:val="left" w:pos="680"/>
        </w:tabs>
        <w:suppressAutoHyphens/>
        <w:spacing w:before="240" w:line="24" w:lineRule="atLeast"/>
        <w:outlineLvl w:val="2"/>
        <w:rPr>
          <w:rFonts w:cs="Arial"/>
          <w:color w:val="FF0000"/>
          <w:lang w:val="en-GB"/>
        </w:rPr>
      </w:pPr>
      <w:bookmarkStart w:id="46" w:name="_Toc295225019"/>
      <w:bookmarkStart w:id="47" w:name="_Toc295272710"/>
      <w:r>
        <w:rPr>
          <w:rFonts w:cs="Arial"/>
          <w:lang w:val="en-GB"/>
        </w:rPr>
        <w:t>The regulation of the Austrian gas market was originally regulated by the electricity law of 1938 which has been amended in 1948 for gas supply. Since the implementation of the European single market for natural gas, the complete gas law has been regulated by the “Gaswirtschaftsgesetz 2000”, called GWG (in English gas economy law).  As the electricity market, even the gas market has been changed by the accession to the European Union. A huge step to the liberalizati</w:t>
      </w:r>
      <w:r w:rsidR="00DB1E58">
        <w:rPr>
          <w:rFonts w:cs="Arial"/>
          <w:lang w:val="en-GB"/>
        </w:rPr>
        <w:t>on has been Directive 98/30/EG, which has ensured</w:t>
      </w:r>
      <w:r>
        <w:rPr>
          <w:rFonts w:cs="Arial"/>
          <w:lang w:val="en-GB"/>
        </w:rPr>
        <w:t xml:space="preserve"> transparency o</w:t>
      </w:r>
      <w:r w:rsidR="00DB1E58">
        <w:rPr>
          <w:rFonts w:cs="Arial"/>
          <w:lang w:val="en-GB"/>
        </w:rPr>
        <w:t xml:space="preserve">f prices and the transit of gas. </w:t>
      </w:r>
      <w:r>
        <w:rPr>
          <w:rFonts w:cs="Arial"/>
          <w:lang w:val="en-GB"/>
        </w:rPr>
        <w:t>Directive 98/30/EG has to be incorporated to the national law of the member states until 10</w:t>
      </w:r>
      <w:r w:rsidRPr="00420173">
        <w:rPr>
          <w:rFonts w:cs="Arial"/>
          <w:vertAlign w:val="superscript"/>
          <w:lang w:val="en-GB"/>
        </w:rPr>
        <w:t>th</w:t>
      </w:r>
      <w:r>
        <w:rPr>
          <w:rFonts w:cs="Arial"/>
          <w:lang w:val="en-GB"/>
        </w:rPr>
        <w:t xml:space="preserve"> of August 2000. The reason for this movement on the European gas market was the same as on the electricity market; to guarantee cheap gas in favour to the competitiveness.</w:t>
      </w:r>
      <w:bookmarkEnd w:id="46"/>
      <w:r w:rsidR="00F36AC1">
        <w:rPr>
          <w:rStyle w:val="Funotenzeichen"/>
          <w:rFonts w:cs="Arial"/>
          <w:lang w:val="en-GB"/>
        </w:rPr>
        <w:footnoteReference w:id="11"/>
      </w:r>
      <w:bookmarkEnd w:id="47"/>
    </w:p>
    <w:p w:rsidR="001F77CA" w:rsidRDefault="001F77CA" w:rsidP="00FD3B3B">
      <w:pPr>
        <w:keepNext/>
        <w:tabs>
          <w:tab w:val="left" w:pos="680"/>
        </w:tabs>
        <w:suppressAutoHyphens/>
        <w:spacing w:before="240" w:line="24" w:lineRule="atLeast"/>
        <w:outlineLvl w:val="2"/>
        <w:rPr>
          <w:rFonts w:cs="Arial"/>
          <w:lang w:val="en-GB"/>
        </w:rPr>
      </w:pPr>
      <w:bookmarkStart w:id="48" w:name="_Toc295225020"/>
      <w:bookmarkStart w:id="49" w:name="_Toc295272711"/>
      <w:r>
        <w:rPr>
          <w:rFonts w:cs="Arial"/>
          <w:lang w:val="en-GB"/>
        </w:rPr>
        <w:t>Directive 98/30/EG was included in Austria in 2000, by the Gaswirtschaftsgesetz 2000 (GWG I), in English Gas Economy Law. GWG I has included the way of double-stage market liberalization until October 2002.</w:t>
      </w:r>
      <w:bookmarkEnd w:id="48"/>
      <w:r w:rsidR="00F36AC1">
        <w:rPr>
          <w:rStyle w:val="Funotenzeichen"/>
          <w:rFonts w:cs="Arial"/>
          <w:lang w:val="en-GB"/>
        </w:rPr>
        <w:footnoteReference w:id="12"/>
      </w:r>
      <w:bookmarkEnd w:id="49"/>
    </w:p>
    <w:p w:rsidR="001F77CA" w:rsidRDefault="001F77CA" w:rsidP="00FD3B3B">
      <w:pPr>
        <w:keepNext/>
        <w:tabs>
          <w:tab w:val="left" w:pos="680"/>
        </w:tabs>
        <w:suppressAutoHyphens/>
        <w:spacing w:before="240" w:line="24" w:lineRule="atLeast"/>
        <w:outlineLvl w:val="2"/>
        <w:rPr>
          <w:rFonts w:cs="Arial"/>
          <w:lang w:val="en-GB"/>
        </w:rPr>
      </w:pPr>
      <w:bookmarkStart w:id="50" w:name="_Toc295225021"/>
      <w:bookmarkStart w:id="51" w:name="_Toc295272712"/>
      <w:r>
        <w:rPr>
          <w:rFonts w:cs="Arial"/>
          <w:lang w:val="en-GB"/>
        </w:rPr>
        <w:t>In the first period customers, who used more than 25m³ gas the year before, have been included in the liberalized gas market.</w:t>
      </w:r>
      <w:bookmarkEnd w:id="50"/>
      <w:r w:rsidR="00F36AC1">
        <w:rPr>
          <w:rStyle w:val="Funotenzeichen"/>
          <w:rFonts w:cs="Arial"/>
          <w:lang w:val="en-GB"/>
        </w:rPr>
        <w:footnoteReference w:id="13"/>
      </w:r>
      <w:bookmarkEnd w:id="51"/>
    </w:p>
    <w:p w:rsidR="001F77CA" w:rsidRDefault="001F77CA" w:rsidP="00FD3B3B">
      <w:pPr>
        <w:keepNext/>
        <w:tabs>
          <w:tab w:val="left" w:pos="680"/>
        </w:tabs>
        <w:suppressAutoHyphens/>
        <w:spacing w:before="240" w:line="24" w:lineRule="atLeast"/>
        <w:outlineLvl w:val="2"/>
        <w:rPr>
          <w:rFonts w:cs="Arial"/>
          <w:lang w:val="en-GB"/>
        </w:rPr>
      </w:pPr>
      <w:bookmarkStart w:id="52" w:name="_Toc295225022"/>
      <w:bookmarkStart w:id="53" w:name="_Toc295272713"/>
      <w:r>
        <w:rPr>
          <w:rFonts w:cs="Arial"/>
          <w:lang w:val="en-GB"/>
        </w:rPr>
        <w:t>There have been some problems by GWG I</w:t>
      </w:r>
      <w:r w:rsidR="00754B03">
        <w:rPr>
          <w:rFonts w:cs="Arial"/>
          <w:lang w:val="en-GB"/>
        </w:rPr>
        <w:t>,</w:t>
      </w:r>
      <w:r>
        <w:rPr>
          <w:rFonts w:cs="Arial"/>
          <w:lang w:val="en-GB"/>
        </w:rPr>
        <w:t xml:space="preserve"> so GWG II was introduced in 2002. GWG II has had a special focus on unbundling, network access; reasons for refusal of the use of the grid, damage claim by unjustified refusal of using the grid, transparency of the grid occupancy rate, fee using the grid respectively controlled network access, take-or-pay-contracts, organisational technique framework conditions and the responsibility of the regulation authority, which is the Energie-Control GmbH (E-Control), the same as on the electricity market.</w:t>
      </w:r>
      <w:bookmarkEnd w:id="52"/>
      <w:r w:rsidR="00F36AC1">
        <w:rPr>
          <w:rStyle w:val="Funotenzeichen"/>
          <w:rFonts w:cs="Arial"/>
          <w:lang w:val="en-GB"/>
        </w:rPr>
        <w:footnoteReference w:id="14"/>
      </w:r>
      <w:bookmarkEnd w:id="53"/>
      <w:r w:rsidR="00135114">
        <w:rPr>
          <w:rFonts w:cs="Arial"/>
          <w:lang w:val="en-GB"/>
        </w:rPr>
        <w:t xml:space="preserve"> </w:t>
      </w:r>
    </w:p>
    <w:p w:rsidR="00135114" w:rsidRDefault="00135114" w:rsidP="00FD3B3B">
      <w:pPr>
        <w:rPr>
          <w:rFonts w:cs="Arial"/>
          <w:b/>
          <w:szCs w:val="22"/>
          <w:lang w:val="en-GB"/>
        </w:rPr>
      </w:pPr>
    </w:p>
    <w:p w:rsidR="00135114" w:rsidRDefault="00135114" w:rsidP="00FD3B3B">
      <w:pPr>
        <w:rPr>
          <w:rFonts w:cs="Arial"/>
          <w:b/>
          <w:szCs w:val="22"/>
          <w:lang w:val="en-GB"/>
        </w:rPr>
      </w:pPr>
      <w:r w:rsidRPr="00120B14">
        <w:rPr>
          <w:rFonts w:cs="Arial"/>
          <w:b/>
          <w:szCs w:val="22"/>
          <w:lang w:val="en-GB"/>
        </w:rPr>
        <w:t>Facts about the liberalizat</w:t>
      </w:r>
      <w:r>
        <w:rPr>
          <w:rFonts w:cs="Arial"/>
          <w:b/>
          <w:szCs w:val="22"/>
          <w:lang w:val="en-GB"/>
        </w:rPr>
        <w:t xml:space="preserve">ion of the gas market in </w:t>
      </w:r>
      <w:r w:rsidR="00F37BFD">
        <w:rPr>
          <w:rFonts w:cs="Arial"/>
          <w:b/>
          <w:szCs w:val="22"/>
          <w:lang w:val="en-GB"/>
        </w:rPr>
        <w:t>the Czech Republic</w:t>
      </w:r>
    </w:p>
    <w:p w:rsidR="00EC1213" w:rsidRDefault="00AD678C" w:rsidP="00FD3B3B">
      <w:pPr>
        <w:pStyle w:val="Default"/>
        <w:jc w:val="both"/>
        <w:rPr>
          <w:rFonts w:ascii="Arial" w:eastAsia="Batang" w:hAnsi="Arial" w:cs="Arial"/>
          <w:color w:val="auto"/>
          <w:sz w:val="22"/>
          <w:szCs w:val="23"/>
          <w:lang w:val="en-GB" w:eastAsia="en-US"/>
        </w:rPr>
      </w:pPr>
      <w:r w:rsidRPr="00EC1213">
        <w:rPr>
          <w:rFonts w:ascii="Arial" w:eastAsia="Batang" w:hAnsi="Arial" w:cs="Arial"/>
          <w:color w:val="auto"/>
          <w:sz w:val="22"/>
          <w:szCs w:val="23"/>
          <w:lang w:val="en-GB" w:eastAsia="en-US"/>
        </w:rPr>
        <w:t xml:space="preserve">The Czech Republic has essentially no own natural gas resources. It therefore </w:t>
      </w:r>
      <w:r w:rsidR="00EC1213" w:rsidRPr="00EC1213">
        <w:rPr>
          <w:rFonts w:ascii="Arial" w:eastAsia="Batang" w:hAnsi="Arial" w:cs="Arial"/>
          <w:color w:val="auto"/>
          <w:sz w:val="22"/>
          <w:szCs w:val="23"/>
          <w:lang w:val="en-GB" w:eastAsia="en-US"/>
        </w:rPr>
        <w:t>has to i</w:t>
      </w:r>
      <w:r w:rsidR="00EC1213" w:rsidRPr="00EC1213">
        <w:rPr>
          <w:rFonts w:ascii="Arial" w:eastAsia="Batang" w:hAnsi="Arial" w:cs="Arial"/>
          <w:color w:val="auto"/>
          <w:sz w:val="22"/>
          <w:szCs w:val="23"/>
          <w:lang w:val="en-GB" w:eastAsia="en-US"/>
        </w:rPr>
        <w:t>m</w:t>
      </w:r>
      <w:r w:rsidR="00EC1213" w:rsidRPr="00EC1213">
        <w:rPr>
          <w:rFonts w:ascii="Arial" w:eastAsia="Batang" w:hAnsi="Arial" w:cs="Arial"/>
          <w:color w:val="auto"/>
          <w:sz w:val="22"/>
          <w:szCs w:val="23"/>
          <w:lang w:val="en-GB" w:eastAsia="en-US"/>
        </w:rPr>
        <w:t>port almost all of this</w:t>
      </w:r>
      <w:r w:rsidRPr="00EC1213">
        <w:rPr>
          <w:rFonts w:ascii="Arial" w:eastAsia="Batang" w:hAnsi="Arial" w:cs="Arial"/>
          <w:color w:val="auto"/>
          <w:sz w:val="22"/>
          <w:szCs w:val="23"/>
          <w:lang w:val="en-GB" w:eastAsia="en-US"/>
        </w:rPr>
        <w:t xml:space="preserve"> energy source. For historical reasons, it bought almost all its natural gas from Russia</w:t>
      </w:r>
      <w:r w:rsidR="00F37BFD">
        <w:rPr>
          <w:rFonts w:ascii="Arial" w:eastAsia="Batang" w:hAnsi="Arial" w:cs="Arial"/>
          <w:color w:val="auto"/>
          <w:sz w:val="22"/>
          <w:szCs w:val="23"/>
          <w:lang w:val="en-GB" w:eastAsia="en-US"/>
        </w:rPr>
        <w:t xml:space="preserve"> (85%)</w:t>
      </w:r>
      <w:r w:rsidR="00F85776" w:rsidRPr="00EC1213">
        <w:rPr>
          <w:rFonts w:ascii="Arial" w:eastAsia="Batang" w:hAnsi="Arial" w:cs="Arial"/>
          <w:color w:val="auto"/>
          <w:sz w:val="22"/>
          <w:szCs w:val="23"/>
          <w:lang w:val="en-GB" w:eastAsia="en-US"/>
        </w:rPr>
        <w:t>;</w:t>
      </w:r>
      <w:r w:rsidRPr="00EC1213">
        <w:rPr>
          <w:rFonts w:ascii="Arial" w:eastAsia="Batang" w:hAnsi="Arial" w:cs="Arial"/>
          <w:color w:val="auto"/>
          <w:sz w:val="22"/>
          <w:szCs w:val="23"/>
          <w:lang w:val="en-GB" w:eastAsia="en-US"/>
        </w:rPr>
        <w:t xml:space="preserve"> however, in 1997 a contract with a consortium of Norwegian firms was concluded. Following EU directives, in 2005 the Czech authorities have started to open up the market allowing the 35 largest consumers to choose their supplier and e</w:t>
      </w:r>
      <w:r w:rsidRPr="00EC1213">
        <w:rPr>
          <w:rFonts w:ascii="Arial" w:eastAsia="Batang" w:hAnsi="Arial" w:cs="Arial"/>
          <w:color w:val="auto"/>
          <w:sz w:val="22"/>
          <w:szCs w:val="23"/>
          <w:lang w:val="en-GB" w:eastAsia="en-US"/>
        </w:rPr>
        <w:t>x</w:t>
      </w:r>
      <w:r w:rsidRPr="00EC1213">
        <w:rPr>
          <w:rFonts w:ascii="Arial" w:eastAsia="Batang" w:hAnsi="Arial" w:cs="Arial"/>
          <w:color w:val="auto"/>
          <w:sz w:val="22"/>
          <w:szCs w:val="23"/>
          <w:lang w:val="en-GB" w:eastAsia="en-US"/>
        </w:rPr>
        <w:lastRenderedPageBreak/>
        <w:t>tended this option to all non-household consumers in 2006 a</w:t>
      </w:r>
      <w:r w:rsidR="00EC1213">
        <w:rPr>
          <w:rFonts w:ascii="Arial" w:eastAsia="Batang" w:hAnsi="Arial" w:cs="Arial"/>
          <w:color w:val="auto"/>
          <w:sz w:val="22"/>
          <w:szCs w:val="23"/>
          <w:lang w:val="en-GB" w:eastAsia="en-US"/>
        </w:rPr>
        <w:t>nd household consumers in 2007.</w:t>
      </w:r>
    </w:p>
    <w:p w:rsidR="00F36AC1" w:rsidRDefault="00F36AC1" w:rsidP="00FD3B3B">
      <w:pPr>
        <w:pStyle w:val="Default"/>
        <w:jc w:val="both"/>
        <w:rPr>
          <w:rFonts w:ascii="Arial" w:eastAsia="Batang" w:hAnsi="Arial" w:cs="Arial"/>
          <w:color w:val="auto"/>
          <w:sz w:val="22"/>
          <w:szCs w:val="23"/>
          <w:lang w:val="en-GB" w:eastAsia="en-US"/>
        </w:rPr>
      </w:pPr>
    </w:p>
    <w:tbl>
      <w:tblPr>
        <w:tblW w:w="8748" w:type="dxa"/>
        <w:jc w:val="center"/>
        <w:tblInd w:w="56" w:type="dxa"/>
        <w:tblCellMar>
          <w:left w:w="70" w:type="dxa"/>
          <w:right w:w="70" w:type="dxa"/>
        </w:tblCellMar>
        <w:tblLook w:val="04A0"/>
      </w:tblPr>
      <w:tblGrid>
        <w:gridCol w:w="839"/>
        <w:gridCol w:w="945"/>
        <w:gridCol w:w="945"/>
        <w:gridCol w:w="945"/>
        <w:gridCol w:w="945"/>
        <w:gridCol w:w="1170"/>
        <w:gridCol w:w="996"/>
        <w:gridCol w:w="1963"/>
      </w:tblGrid>
      <w:tr w:rsidR="006243BE" w:rsidRPr="00EC1213" w:rsidTr="00450BBA">
        <w:trPr>
          <w:trHeight w:val="847"/>
          <w:jc w:val="center"/>
        </w:trPr>
        <w:tc>
          <w:tcPr>
            <w:tcW w:w="8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C1213" w:rsidRPr="00EC1213" w:rsidRDefault="00EC1213" w:rsidP="00230FD4">
            <w:pPr>
              <w:spacing w:before="0" w:after="0" w:line="240" w:lineRule="auto"/>
              <w:jc w:val="center"/>
              <w:rPr>
                <w:rFonts w:eastAsia="Times New Roman" w:cs="Arial"/>
                <w:color w:val="333333"/>
                <w:szCs w:val="22"/>
                <w:lang w:eastAsia="cs-CZ"/>
              </w:rPr>
            </w:pPr>
            <w:r w:rsidRPr="00EC1213">
              <w:rPr>
                <w:rFonts w:eastAsia="Times New Roman" w:cs="Arial"/>
                <w:color w:val="333333"/>
                <w:szCs w:val="22"/>
                <w:lang w:eastAsia="cs-CZ"/>
              </w:rPr>
              <w:t>Year</w:t>
            </w:r>
          </w:p>
        </w:tc>
        <w:tc>
          <w:tcPr>
            <w:tcW w:w="945" w:type="dxa"/>
            <w:tcBorders>
              <w:top w:val="single" w:sz="4" w:space="0" w:color="auto"/>
              <w:left w:val="nil"/>
              <w:bottom w:val="single" w:sz="4" w:space="0" w:color="auto"/>
              <w:right w:val="single" w:sz="4" w:space="0" w:color="auto"/>
            </w:tcBorders>
            <w:shd w:val="clear" w:color="000000" w:fill="FFFFFF"/>
            <w:noWrap/>
            <w:vAlign w:val="center"/>
            <w:hideMark/>
          </w:tcPr>
          <w:p w:rsidR="00EC1213" w:rsidRPr="00EC1213" w:rsidRDefault="00EC1213" w:rsidP="00230FD4">
            <w:pPr>
              <w:spacing w:before="0" w:after="0" w:line="240" w:lineRule="auto"/>
              <w:jc w:val="center"/>
              <w:rPr>
                <w:rFonts w:eastAsia="Times New Roman" w:cs="Arial"/>
                <w:color w:val="333333"/>
                <w:szCs w:val="22"/>
                <w:lang w:eastAsia="cs-CZ"/>
              </w:rPr>
            </w:pPr>
            <w:r w:rsidRPr="00EC1213">
              <w:rPr>
                <w:rFonts w:eastAsia="Times New Roman" w:cs="Arial"/>
                <w:color w:val="333333"/>
                <w:szCs w:val="22"/>
                <w:lang w:eastAsia="cs-CZ"/>
              </w:rPr>
              <w:t>2005</w:t>
            </w:r>
          </w:p>
        </w:tc>
        <w:tc>
          <w:tcPr>
            <w:tcW w:w="945" w:type="dxa"/>
            <w:tcBorders>
              <w:top w:val="single" w:sz="4" w:space="0" w:color="auto"/>
              <w:left w:val="nil"/>
              <w:bottom w:val="single" w:sz="4" w:space="0" w:color="auto"/>
              <w:right w:val="single" w:sz="4" w:space="0" w:color="auto"/>
            </w:tcBorders>
            <w:shd w:val="clear" w:color="000000" w:fill="FFFFFF"/>
            <w:noWrap/>
            <w:vAlign w:val="center"/>
            <w:hideMark/>
          </w:tcPr>
          <w:p w:rsidR="00EC1213" w:rsidRPr="00EC1213" w:rsidRDefault="00EC1213" w:rsidP="00230FD4">
            <w:pPr>
              <w:spacing w:before="0" w:after="0" w:line="240" w:lineRule="auto"/>
              <w:jc w:val="center"/>
              <w:rPr>
                <w:rFonts w:eastAsia="Times New Roman" w:cs="Arial"/>
                <w:color w:val="333333"/>
                <w:szCs w:val="22"/>
                <w:lang w:eastAsia="cs-CZ"/>
              </w:rPr>
            </w:pPr>
            <w:r w:rsidRPr="00EC1213">
              <w:rPr>
                <w:rFonts w:eastAsia="Times New Roman" w:cs="Arial"/>
                <w:color w:val="333333"/>
                <w:szCs w:val="22"/>
                <w:lang w:eastAsia="cs-CZ"/>
              </w:rPr>
              <w:t>2006</w:t>
            </w:r>
          </w:p>
        </w:tc>
        <w:tc>
          <w:tcPr>
            <w:tcW w:w="945" w:type="dxa"/>
            <w:tcBorders>
              <w:top w:val="single" w:sz="4" w:space="0" w:color="auto"/>
              <w:left w:val="nil"/>
              <w:bottom w:val="single" w:sz="4" w:space="0" w:color="auto"/>
              <w:right w:val="single" w:sz="4" w:space="0" w:color="auto"/>
            </w:tcBorders>
            <w:shd w:val="clear" w:color="000000" w:fill="FFFFFF"/>
            <w:noWrap/>
            <w:vAlign w:val="center"/>
            <w:hideMark/>
          </w:tcPr>
          <w:p w:rsidR="00EC1213" w:rsidRPr="00EC1213" w:rsidRDefault="00EC1213" w:rsidP="00230FD4">
            <w:pPr>
              <w:spacing w:before="0" w:after="0" w:line="240" w:lineRule="auto"/>
              <w:jc w:val="center"/>
              <w:rPr>
                <w:rFonts w:eastAsia="Times New Roman" w:cs="Arial"/>
                <w:color w:val="333333"/>
                <w:szCs w:val="22"/>
                <w:lang w:eastAsia="cs-CZ"/>
              </w:rPr>
            </w:pPr>
            <w:r w:rsidRPr="00EC1213">
              <w:rPr>
                <w:rFonts w:eastAsia="Times New Roman" w:cs="Arial"/>
                <w:color w:val="333333"/>
                <w:szCs w:val="22"/>
                <w:lang w:eastAsia="cs-CZ"/>
              </w:rPr>
              <w:t>2007</w:t>
            </w:r>
          </w:p>
        </w:tc>
        <w:tc>
          <w:tcPr>
            <w:tcW w:w="945" w:type="dxa"/>
            <w:tcBorders>
              <w:top w:val="single" w:sz="4" w:space="0" w:color="auto"/>
              <w:left w:val="nil"/>
              <w:bottom w:val="single" w:sz="4" w:space="0" w:color="auto"/>
              <w:right w:val="single" w:sz="4" w:space="0" w:color="auto"/>
            </w:tcBorders>
            <w:shd w:val="clear" w:color="000000" w:fill="FFFFFF"/>
            <w:noWrap/>
            <w:vAlign w:val="center"/>
            <w:hideMark/>
          </w:tcPr>
          <w:p w:rsidR="00EC1213" w:rsidRPr="00EC1213" w:rsidRDefault="00EC1213" w:rsidP="00230FD4">
            <w:pPr>
              <w:spacing w:before="0" w:after="0" w:line="240" w:lineRule="auto"/>
              <w:jc w:val="center"/>
              <w:rPr>
                <w:rFonts w:eastAsia="Times New Roman" w:cs="Arial"/>
                <w:color w:val="333333"/>
                <w:szCs w:val="22"/>
                <w:lang w:eastAsia="cs-CZ"/>
              </w:rPr>
            </w:pPr>
            <w:r w:rsidRPr="00EC1213">
              <w:rPr>
                <w:rFonts w:eastAsia="Times New Roman" w:cs="Arial"/>
                <w:color w:val="333333"/>
                <w:szCs w:val="22"/>
                <w:lang w:eastAsia="cs-CZ"/>
              </w:rPr>
              <w:t>2008</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rsidR="00EC1213" w:rsidRPr="00EC1213" w:rsidRDefault="00EC1213" w:rsidP="00230FD4">
            <w:pPr>
              <w:spacing w:before="0" w:after="0" w:line="240" w:lineRule="auto"/>
              <w:jc w:val="center"/>
              <w:rPr>
                <w:rFonts w:eastAsia="Times New Roman" w:cs="Arial"/>
                <w:color w:val="333333"/>
                <w:szCs w:val="22"/>
                <w:lang w:eastAsia="cs-CZ"/>
              </w:rPr>
            </w:pPr>
            <w:r w:rsidRPr="00EC1213">
              <w:rPr>
                <w:rFonts w:eastAsia="Times New Roman" w:cs="Arial"/>
                <w:color w:val="333333"/>
                <w:szCs w:val="22"/>
                <w:lang w:eastAsia="cs-CZ"/>
              </w:rPr>
              <w:t>2009</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EC1213" w:rsidRPr="00EC1213" w:rsidRDefault="00EC1213" w:rsidP="00230FD4">
            <w:pPr>
              <w:spacing w:before="0" w:after="0" w:line="240" w:lineRule="auto"/>
              <w:jc w:val="center"/>
              <w:rPr>
                <w:rFonts w:eastAsia="Times New Roman" w:cs="Arial"/>
                <w:color w:val="333333"/>
                <w:szCs w:val="22"/>
                <w:lang w:eastAsia="cs-CZ"/>
              </w:rPr>
            </w:pPr>
            <w:r w:rsidRPr="00EC1213">
              <w:rPr>
                <w:rFonts w:eastAsia="Times New Roman" w:cs="Arial"/>
                <w:color w:val="333333"/>
                <w:szCs w:val="22"/>
                <w:lang w:eastAsia="cs-CZ"/>
              </w:rPr>
              <w:t>2010</w:t>
            </w:r>
          </w:p>
        </w:tc>
        <w:tc>
          <w:tcPr>
            <w:tcW w:w="1963" w:type="dxa"/>
            <w:tcBorders>
              <w:top w:val="single" w:sz="4" w:space="0" w:color="auto"/>
              <w:left w:val="nil"/>
              <w:bottom w:val="single" w:sz="4" w:space="0" w:color="auto"/>
              <w:right w:val="single" w:sz="4" w:space="0" w:color="auto"/>
            </w:tcBorders>
            <w:shd w:val="clear" w:color="000000" w:fill="FFFFFF"/>
            <w:vAlign w:val="center"/>
            <w:hideMark/>
          </w:tcPr>
          <w:p w:rsidR="00EC1213" w:rsidRPr="00EC1213" w:rsidRDefault="00EC1213" w:rsidP="00230FD4">
            <w:pPr>
              <w:spacing w:before="0" w:after="0" w:line="240" w:lineRule="auto"/>
              <w:jc w:val="center"/>
              <w:rPr>
                <w:rFonts w:eastAsia="Times New Roman" w:cs="Arial"/>
                <w:color w:val="333333"/>
                <w:szCs w:val="22"/>
                <w:lang w:eastAsia="cs-CZ"/>
              </w:rPr>
            </w:pPr>
            <w:r w:rsidRPr="00EC1213">
              <w:rPr>
                <w:rFonts w:eastAsia="Times New Roman" w:cs="Arial"/>
                <w:color w:val="333333"/>
                <w:szCs w:val="22"/>
                <w:lang w:eastAsia="cs-CZ"/>
              </w:rPr>
              <w:t>2011</w:t>
            </w:r>
            <w:r w:rsidRPr="00EC1213">
              <w:rPr>
                <w:rFonts w:eastAsia="Times New Roman" w:cs="Arial"/>
                <w:color w:val="333333"/>
                <w:szCs w:val="22"/>
                <w:lang w:eastAsia="cs-CZ"/>
              </w:rPr>
              <w:br/>
            </w:r>
            <w:r w:rsidRPr="00230FD4">
              <w:rPr>
                <w:rFonts w:eastAsia="Times New Roman" w:cs="Arial"/>
                <w:color w:val="333333"/>
                <w:sz w:val="20"/>
                <w:szCs w:val="22"/>
                <w:lang w:eastAsia="cs-CZ"/>
              </w:rPr>
              <w:t>(till the end of May)</w:t>
            </w:r>
          </w:p>
        </w:tc>
      </w:tr>
      <w:tr w:rsidR="006243BE" w:rsidRPr="00EC1213" w:rsidTr="00450BBA">
        <w:trPr>
          <w:trHeight w:val="265"/>
          <w:jc w:val="center"/>
        </w:trPr>
        <w:tc>
          <w:tcPr>
            <w:tcW w:w="839" w:type="dxa"/>
            <w:tcBorders>
              <w:top w:val="nil"/>
              <w:left w:val="single" w:sz="4" w:space="0" w:color="auto"/>
              <w:bottom w:val="single" w:sz="4" w:space="0" w:color="auto"/>
              <w:right w:val="single" w:sz="4" w:space="0" w:color="auto"/>
            </w:tcBorders>
            <w:shd w:val="clear" w:color="000000" w:fill="FFFFFF"/>
            <w:noWrap/>
            <w:vAlign w:val="center"/>
            <w:hideMark/>
          </w:tcPr>
          <w:p w:rsidR="00EC1213" w:rsidRPr="00EC1213" w:rsidRDefault="00EC1213" w:rsidP="00230FD4">
            <w:pPr>
              <w:spacing w:before="0" w:after="0" w:line="240" w:lineRule="auto"/>
              <w:jc w:val="center"/>
              <w:rPr>
                <w:rFonts w:eastAsia="Times New Roman" w:cs="Arial"/>
                <w:color w:val="333333"/>
                <w:szCs w:val="22"/>
                <w:lang w:eastAsia="cs-CZ"/>
              </w:rPr>
            </w:pPr>
            <w:r w:rsidRPr="00EC1213">
              <w:rPr>
                <w:rFonts w:eastAsia="Times New Roman" w:cs="Arial"/>
                <w:color w:val="333333"/>
                <w:szCs w:val="22"/>
                <w:lang w:eastAsia="cs-CZ"/>
              </w:rPr>
              <w:t>#</w:t>
            </w:r>
          </w:p>
        </w:tc>
        <w:tc>
          <w:tcPr>
            <w:tcW w:w="945" w:type="dxa"/>
            <w:tcBorders>
              <w:top w:val="nil"/>
              <w:left w:val="nil"/>
              <w:bottom w:val="single" w:sz="4" w:space="0" w:color="auto"/>
              <w:right w:val="single" w:sz="4" w:space="0" w:color="auto"/>
            </w:tcBorders>
            <w:shd w:val="clear" w:color="000000" w:fill="FFFFFF"/>
            <w:noWrap/>
            <w:vAlign w:val="bottom"/>
            <w:hideMark/>
          </w:tcPr>
          <w:p w:rsidR="00EC1213" w:rsidRPr="00EC1213" w:rsidRDefault="00EC1213" w:rsidP="00230FD4">
            <w:pPr>
              <w:spacing w:before="0" w:after="0" w:line="240" w:lineRule="auto"/>
              <w:jc w:val="center"/>
              <w:rPr>
                <w:rFonts w:eastAsia="Times New Roman" w:cs="Arial"/>
                <w:color w:val="333333"/>
                <w:szCs w:val="22"/>
                <w:lang w:eastAsia="cs-CZ"/>
              </w:rPr>
            </w:pPr>
            <w:r w:rsidRPr="00EC1213">
              <w:rPr>
                <w:rFonts w:eastAsia="Times New Roman" w:cs="Arial"/>
                <w:color w:val="333333"/>
                <w:szCs w:val="22"/>
                <w:lang w:eastAsia="cs-CZ"/>
              </w:rPr>
              <w:t>2</w:t>
            </w:r>
          </w:p>
        </w:tc>
        <w:tc>
          <w:tcPr>
            <w:tcW w:w="945" w:type="dxa"/>
            <w:tcBorders>
              <w:top w:val="nil"/>
              <w:left w:val="nil"/>
              <w:bottom w:val="single" w:sz="4" w:space="0" w:color="auto"/>
              <w:right w:val="single" w:sz="4" w:space="0" w:color="auto"/>
            </w:tcBorders>
            <w:shd w:val="clear" w:color="000000" w:fill="FFFFFF"/>
            <w:noWrap/>
            <w:vAlign w:val="bottom"/>
            <w:hideMark/>
          </w:tcPr>
          <w:p w:rsidR="00EC1213" w:rsidRPr="00EC1213" w:rsidRDefault="00EC1213" w:rsidP="00230FD4">
            <w:pPr>
              <w:spacing w:before="0" w:after="0" w:line="240" w:lineRule="auto"/>
              <w:jc w:val="center"/>
              <w:rPr>
                <w:rFonts w:eastAsia="Times New Roman" w:cs="Arial"/>
                <w:color w:val="333333"/>
                <w:szCs w:val="22"/>
                <w:lang w:eastAsia="cs-CZ"/>
              </w:rPr>
            </w:pPr>
            <w:r w:rsidRPr="00EC1213">
              <w:rPr>
                <w:rFonts w:eastAsia="Times New Roman" w:cs="Arial"/>
                <w:color w:val="333333"/>
                <w:szCs w:val="22"/>
                <w:lang w:eastAsia="cs-CZ"/>
              </w:rPr>
              <w:t>454</w:t>
            </w:r>
          </w:p>
        </w:tc>
        <w:tc>
          <w:tcPr>
            <w:tcW w:w="945" w:type="dxa"/>
            <w:tcBorders>
              <w:top w:val="nil"/>
              <w:left w:val="nil"/>
              <w:bottom w:val="single" w:sz="4" w:space="0" w:color="auto"/>
              <w:right w:val="single" w:sz="4" w:space="0" w:color="auto"/>
            </w:tcBorders>
            <w:shd w:val="clear" w:color="000000" w:fill="FFFFFF"/>
            <w:noWrap/>
            <w:vAlign w:val="bottom"/>
            <w:hideMark/>
          </w:tcPr>
          <w:p w:rsidR="00EC1213" w:rsidRPr="00EC1213" w:rsidRDefault="00EC1213" w:rsidP="00230FD4">
            <w:pPr>
              <w:spacing w:before="0" w:after="0" w:line="240" w:lineRule="auto"/>
              <w:jc w:val="center"/>
              <w:rPr>
                <w:rFonts w:eastAsia="Times New Roman" w:cs="Arial"/>
                <w:color w:val="333333"/>
                <w:szCs w:val="22"/>
                <w:lang w:eastAsia="cs-CZ"/>
              </w:rPr>
            </w:pPr>
            <w:r w:rsidRPr="00EC1213">
              <w:rPr>
                <w:rFonts w:eastAsia="Times New Roman" w:cs="Arial"/>
                <w:color w:val="333333"/>
                <w:szCs w:val="22"/>
                <w:lang w:eastAsia="cs-CZ"/>
              </w:rPr>
              <w:t>6699</w:t>
            </w:r>
          </w:p>
        </w:tc>
        <w:tc>
          <w:tcPr>
            <w:tcW w:w="945" w:type="dxa"/>
            <w:tcBorders>
              <w:top w:val="nil"/>
              <w:left w:val="nil"/>
              <w:bottom w:val="single" w:sz="4" w:space="0" w:color="auto"/>
              <w:right w:val="single" w:sz="4" w:space="0" w:color="auto"/>
            </w:tcBorders>
            <w:shd w:val="clear" w:color="000000" w:fill="FFFFFF"/>
            <w:noWrap/>
            <w:vAlign w:val="bottom"/>
            <w:hideMark/>
          </w:tcPr>
          <w:p w:rsidR="00EC1213" w:rsidRPr="00EC1213" w:rsidRDefault="00EC1213" w:rsidP="00230FD4">
            <w:pPr>
              <w:spacing w:before="0" w:after="0" w:line="240" w:lineRule="auto"/>
              <w:jc w:val="center"/>
              <w:rPr>
                <w:rFonts w:eastAsia="Times New Roman" w:cs="Arial"/>
                <w:color w:val="333333"/>
                <w:szCs w:val="22"/>
                <w:lang w:eastAsia="cs-CZ"/>
              </w:rPr>
            </w:pPr>
            <w:r w:rsidRPr="00EC1213">
              <w:rPr>
                <w:rFonts w:eastAsia="Times New Roman" w:cs="Arial"/>
                <w:color w:val="333333"/>
                <w:szCs w:val="22"/>
                <w:lang w:eastAsia="cs-CZ"/>
              </w:rPr>
              <w:t>596</w:t>
            </w:r>
          </w:p>
        </w:tc>
        <w:tc>
          <w:tcPr>
            <w:tcW w:w="1170" w:type="dxa"/>
            <w:tcBorders>
              <w:top w:val="nil"/>
              <w:left w:val="nil"/>
              <w:bottom w:val="single" w:sz="4" w:space="0" w:color="auto"/>
              <w:right w:val="single" w:sz="4" w:space="0" w:color="auto"/>
            </w:tcBorders>
            <w:shd w:val="clear" w:color="000000" w:fill="FFFFFF"/>
            <w:noWrap/>
            <w:vAlign w:val="bottom"/>
            <w:hideMark/>
          </w:tcPr>
          <w:p w:rsidR="00EC1213" w:rsidRPr="00EC1213" w:rsidRDefault="00EC1213" w:rsidP="00230FD4">
            <w:pPr>
              <w:spacing w:before="0" w:after="0" w:line="240" w:lineRule="auto"/>
              <w:jc w:val="center"/>
              <w:rPr>
                <w:rFonts w:eastAsia="Times New Roman" w:cs="Arial"/>
                <w:color w:val="333333"/>
                <w:szCs w:val="22"/>
                <w:lang w:eastAsia="cs-CZ"/>
              </w:rPr>
            </w:pPr>
            <w:r w:rsidRPr="00EC1213">
              <w:rPr>
                <w:rFonts w:eastAsia="Times New Roman" w:cs="Arial"/>
                <w:color w:val="333333"/>
                <w:szCs w:val="22"/>
                <w:lang w:eastAsia="cs-CZ"/>
              </w:rPr>
              <w:t>33327</w:t>
            </w:r>
          </w:p>
        </w:tc>
        <w:tc>
          <w:tcPr>
            <w:tcW w:w="996" w:type="dxa"/>
            <w:tcBorders>
              <w:top w:val="nil"/>
              <w:left w:val="nil"/>
              <w:bottom w:val="single" w:sz="4" w:space="0" w:color="auto"/>
              <w:right w:val="single" w:sz="4" w:space="0" w:color="auto"/>
            </w:tcBorders>
            <w:shd w:val="clear" w:color="000000" w:fill="FFFFFF"/>
            <w:noWrap/>
            <w:vAlign w:val="bottom"/>
            <w:hideMark/>
          </w:tcPr>
          <w:p w:rsidR="00EC1213" w:rsidRPr="00EC1213" w:rsidRDefault="00EC1213" w:rsidP="00230FD4">
            <w:pPr>
              <w:spacing w:before="0" w:after="0" w:line="240" w:lineRule="auto"/>
              <w:jc w:val="center"/>
              <w:rPr>
                <w:rFonts w:eastAsia="Times New Roman" w:cs="Arial"/>
                <w:color w:val="333333"/>
                <w:szCs w:val="22"/>
                <w:lang w:eastAsia="cs-CZ"/>
              </w:rPr>
            </w:pPr>
            <w:r w:rsidRPr="00EC1213">
              <w:rPr>
                <w:rFonts w:eastAsia="Times New Roman" w:cs="Arial"/>
                <w:color w:val="333333"/>
                <w:szCs w:val="22"/>
                <w:lang w:eastAsia="cs-CZ"/>
              </w:rPr>
              <w:t>84424</w:t>
            </w:r>
          </w:p>
        </w:tc>
        <w:tc>
          <w:tcPr>
            <w:tcW w:w="1963" w:type="dxa"/>
            <w:tcBorders>
              <w:top w:val="nil"/>
              <w:left w:val="nil"/>
              <w:bottom w:val="single" w:sz="4" w:space="0" w:color="auto"/>
              <w:right w:val="single" w:sz="4" w:space="0" w:color="auto"/>
            </w:tcBorders>
            <w:shd w:val="clear" w:color="000000" w:fill="FFFFFF"/>
            <w:noWrap/>
            <w:vAlign w:val="bottom"/>
            <w:hideMark/>
          </w:tcPr>
          <w:p w:rsidR="00EC1213" w:rsidRPr="00EC1213" w:rsidRDefault="00EC1213" w:rsidP="00230FD4">
            <w:pPr>
              <w:spacing w:before="0" w:after="0" w:line="240" w:lineRule="auto"/>
              <w:jc w:val="center"/>
              <w:rPr>
                <w:rFonts w:eastAsia="Times New Roman" w:cs="Arial"/>
                <w:color w:val="333333"/>
                <w:szCs w:val="22"/>
                <w:lang w:eastAsia="cs-CZ"/>
              </w:rPr>
            </w:pPr>
            <w:r w:rsidRPr="00EC1213">
              <w:rPr>
                <w:rFonts w:eastAsia="Times New Roman" w:cs="Arial"/>
                <w:color w:val="333333"/>
                <w:szCs w:val="22"/>
                <w:lang w:eastAsia="cs-CZ"/>
              </w:rPr>
              <w:t>100324</w:t>
            </w:r>
          </w:p>
        </w:tc>
      </w:tr>
    </w:tbl>
    <w:p w:rsidR="00EC1213" w:rsidRDefault="00450BBA" w:rsidP="00FD3B3B">
      <w:pPr>
        <w:pStyle w:val="Default"/>
        <w:jc w:val="both"/>
        <w:rPr>
          <w:rFonts w:ascii="Arial" w:eastAsia="Batang" w:hAnsi="Arial" w:cs="Arial"/>
          <w:i/>
          <w:color w:val="auto"/>
          <w:sz w:val="20"/>
          <w:szCs w:val="23"/>
          <w:lang w:val="en-GB" w:eastAsia="en-US"/>
        </w:rPr>
      </w:pPr>
      <w:r>
        <w:rPr>
          <w:rFonts w:ascii="Arial" w:eastAsia="Batang" w:hAnsi="Arial" w:cs="Arial"/>
          <w:i/>
          <w:color w:val="auto"/>
          <w:sz w:val="20"/>
          <w:szCs w:val="23"/>
          <w:lang w:val="en-GB" w:eastAsia="en-US"/>
        </w:rPr>
        <w:t>Table</w:t>
      </w:r>
      <w:r w:rsidR="00AA3BE6">
        <w:rPr>
          <w:rFonts w:ascii="Arial" w:eastAsia="Batang" w:hAnsi="Arial" w:cs="Arial"/>
          <w:i/>
          <w:color w:val="auto"/>
          <w:sz w:val="20"/>
          <w:szCs w:val="23"/>
          <w:lang w:val="en-GB" w:eastAsia="en-US"/>
        </w:rPr>
        <w:t xml:space="preserve"> </w:t>
      </w:r>
      <w:r>
        <w:rPr>
          <w:rFonts w:ascii="Arial" w:eastAsia="Batang" w:hAnsi="Arial" w:cs="Arial"/>
          <w:i/>
          <w:color w:val="auto"/>
          <w:sz w:val="20"/>
          <w:szCs w:val="23"/>
          <w:lang w:val="en-GB" w:eastAsia="en-US"/>
        </w:rPr>
        <w:t>2: Supplier changes in gas sector in CZ 2005 – 2011</w:t>
      </w:r>
      <w:r>
        <w:rPr>
          <w:rFonts w:ascii="Arial" w:eastAsia="Batang" w:hAnsi="Arial" w:cs="Arial"/>
          <w:i/>
          <w:color w:val="auto"/>
          <w:sz w:val="20"/>
          <w:szCs w:val="23"/>
          <w:lang w:val="en-GB" w:eastAsia="en-US"/>
        </w:rPr>
        <w:tab/>
      </w:r>
      <w:r>
        <w:rPr>
          <w:rFonts w:ascii="Arial" w:eastAsia="Batang" w:hAnsi="Arial" w:cs="Arial"/>
          <w:i/>
          <w:color w:val="auto"/>
          <w:sz w:val="20"/>
          <w:szCs w:val="23"/>
          <w:lang w:val="en-GB" w:eastAsia="en-US"/>
        </w:rPr>
        <w:tab/>
      </w:r>
      <w:r w:rsidR="006243BE" w:rsidRPr="006243BE">
        <w:rPr>
          <w:rFonts w:ascii="Arial" w:eastAsia="Batang" w:hAnsi="Arial" w:cs="Arial"/>
          <w:i/>
          <w:color w:val="auto"/>
          <w:sz w:val="20"/>
          <w:szCs w:val="23"/>
          <w:lang w:val="en-GB" w:eastAsia="en-US"/>
        </w:rPr>
        <w:t xml:space="preserve">Source: </w:t>
      </w:r>
      <w:r w:rsidR="00F37BFD" w:rsidRPr="00AA3BE6">
        <w:rPr>
          <w:rFonts w:ascii="Arial" w:eastAsia="Batang" w:hAnsi="Arial" w:cs="Arial"/>
          <w:i/>
          <w:color w:val="auto"/>
          <w:sz w:val="20"/>
          <w:szCs w:val="23"/>
          <w:lang w:val="en-GB" w:eastAsia="en-US"/>
        </w:rPr>
        <w:t>www.</w:t>
      </w:r>
      <w:r w:rsidR="00AA3BE6">
        <w:rPr>
          <w:rFonts w:ascii="Arial" w:eastAsia="Batang" w:hAnsi="Arial" w:cs="Arial"/>
          <w:i/>
          <w:color w:val="auto"/>
          <w:sz w:val="20"/>
          <w:szCs w:val="23"/>
          <w:lang w:val="en-GB" w:eastAsia="en-US"/>
        </w:rPr>
        <w:t>ote-cr.cz</w:t>
      </w:r>
    </w:p>
    <w:p w:rsidR="00F37BFD" w:rsidRPr="006243BE" w:rsidRDefault="00F37BFD" w:rsidP="00FD3B3B">
      <w:pPr>
        <w:pStyle w:val="Default"/>
        <w:jc w:val="both"/>
        <w:rPr>
          <w:rFonts w:ascii="Arial" w:eastAsia="Batang" w:hAnsi="Arial" w:cs="Arial"/>
          <w:i/>
          <w:color w:val="auto"/>
          <w:sz w:val="20"/>
          <w:szCs w:val="23"/>
          <w:lang w:val="en-GB" w:eastAsia="en-US"/>
        </w:rPr>
      </w:pPr>
    </w:p>
    <w:p w:rsidR="00EC1213" w:rsidRDefault="00EC1213" w:rsidP="00FD3B3B">
      <w:pPr>
        <w:pStyle w:val="Default"/>
        <w:jc w:val="both"/>
        <w:rPr>
          <w:rFonts w:ascii="Arial" w:eastAsia="Batang" w:hAnsi="Arial" w:cs="Arial"/>
          <w:color w:val="auto"/>
          <w:sz w:val="22"/>
          <w:szCs w:val="23"/>
          <w:lang w:val="en-US" w:eastAsia="en-US"/>
        </w:rPr>
      </w:pPr>
      <w:r>
        <w:rPr>
          <w:rFonts w:ascii="Arial" w:eastAsia="Batang" w:hAnsi="Arial" w:cs="Arial"/>
          <w:color w:val="auto"/>
          <w:sz w:val="22"/>
          <w:szCs w:val="23"/>
          <w:lang w:val="en-GB" w:eastAsia="en-US"/>
        </w:rPr>
        <w:t>The table</w:t>
      </w:r>
      <w:r w:rsidR="00AA3BE6">
        <w:rPr>
          <w:rFonts w:ascii="Arial" w:eastAsia="Batang" w:hAnsi="Arial" w:cs="Arial"/>
          <w:color w:val="auto"/>
          <w:sz w:val="22"/>
          <w:szCs w:val="23"/>
          <w:lang w:val="en-GB" w:eastAsia="en-US"/>
        </w:rPr>
        <w:t xml:space="preserve"> 2</w:t>
      </w:r>
      <w:r>
        <w:rPr>
          <w:rFonts w:ascii="Arial" w:eastAsia="Batang" w:hAnsi="Arial" w:cs="Arial"/>
          <w:color w:val="auto"/>
          <w:sz w:val="22"/>
          <w:szCs w:val="23"/>
          <w:lang w:val="en-GB" w:eastAsia="en-US"/>
        </w:rPr>
        <w:t xml:space="preserve"> shows that </w:t>
      </w:r>
      <w:r w:rsidR="004069AC">
        <w:rPr>
          <w:rFonts w:ascii="Arial" w:eastAsia="Batang" w:hAnsi="Arial" w:cs="Arial"/>
          <w:color w:val="auto"/>
          <w:sz w:val="22"/>
          <w:szCs w:val="23"/>
          <w:lang w:val="en-GB" w:eastAsia="en-US"/>
        </w:rPr>
        <w:t>the opening of gas market is a little bit slower than the electricity market. Till May 2011 the total amount of changes was 225 000, i.e.</w:t>
      </w:r>
      <w:r w:rsidR="004069AC">
        <w:rPr>
          <w:rFonts w:ascii="Arial" w:eastAsia="Batang" w:hAnsi="Arial" w:cs="Arial"/>
          <w:color w:val="auto"/>
          <w:sz w:val="22"/>
          <w:szCs w:val="23"/>
          <w:lang w:val="en-US" w:eastAsia="en-US"/>
        </w:rPr>
        <w:t xml:space="preserve"> 7,8</w:t>
      </w:r>
      <w:r w:rsidR="006243BE">
        <w:rPr>
          <w:rFonts w:ascii="Arial" w:eastAsia="Batang" w:hAnsi="Arial" w:cs="Arial"/>
          <w:color w:val="auto"/>
          <w:sz w:val="22"/>
          <w:szCs w:val="23"/>
          <w:lang w:val="en-US" w:eastAsia="en-US"/>
        </w:rPr>
        <w:t xml:space="preserve"> </w:t>
      </w:r>
      <w:r w:rsidR="004069AC">
        <w:rPr>
          <w:rFonts w:ascii="Arial" w:eastAsia="Batang" w:hAnsi="Arial" w:cs="Arial"/>
          <w:color w:val="auto"/>
          <w:sz w:val="22"/>
          <w:szCs w:val="23"/>
          <w:lang w:val="en-US" w:eastAsia="en-US"/>
        </w:rPr>
        <w:t>% of all consu</w:t>
      </w:r>
      <w:r w:rsidR="004069AC">
        <w:rPr>
          <w:rFonts w:ascii="Arial" w:eastAsia="Batang" w:hAnsi="Arial" w:cs="Arial"/>
          <w:color w:val="auto"/>
          <w:sz w:val="22"/>
          <w:szCs w:val="23"/>
          <w:lang w:val="en-US" w:eastAsia="en-US"/>
        </w:rPr>
        <w:t>m</w:t>
      </w:r>
      <w:r w:rsidR="004069AC">
        <w:rPr>
          <w:rFonts w:ascii="Arial" w:eastAsia="Batang" w:hAnsi="Arial" w:cs="Arial"/>
          <w:color w:val="auto"/>
          <w:sz w:val="22"/>
          <w:szCs w:val="23"/>
          <w:lang w:val="en-US" w:eastAsia="en-US"/>
        </w:rPr>
        <w:t xml:space="preserve">ers. </w:t>
      </w:r>
      <w:r w:rsidR="00E87035">
        <w:rPr>
          <w:rFonts w:ascii="Arial" w:eastAsia="Batang" w:hAnsi="Arial" w:cs="Arial"/>
          <w:color w:val="auto"/>
          <w:sz w:val="22"/>
          <w:szCs w:val="23"/>
          <w:lang w:val="en-US" w:eastAsia="en-US"/>
        </w:rPr>
        <w:t xml:space="preserve">The biggest skip came in the period January 2010 – May 2011. Not only </w:t>
      </w:r>
      <w:r w:rsidR="00F37BFD">
        <w:rPr>
          <w:rFonts w:ascii="Arial" w:eastAsia="Batang" w:hAnsi="Arial" w:cs="Arial"/>
          <w:color w:val="auto"/>
          <w:sz w:val="22"/>
          <w:szCs w:val="23"/>
          <w:lang w:val="en-US" w:eastAsia="en-US"/>
        </w:rPr>
        <w:t>almost 200000 changes happened but also the number of suppliers increased from 8 to 25.</w:t>
      </w:r>
    </w:p>
    <w:p w:rsidR="000870D2" w:rsidRDefault="004041EB" w:rsidP="00FD3B3B">
      <w:pPr>
        <w:pStyle w:val="berschrift1"/>
        <w:jc w:val="both"/>
        <w:rPr>
          <w:lang w:val="en-US"/>
        </w:rPr>
      </w:pPr>
      <w:bookmarkStart w:id="54" w:name="_Toc293390664"/>
      <w:bookmarkStart w:id="55" w:name="_Toc295272714"/>
      <w:r>
        <w:rPr>
          <w:lang w:val="en-GB"/>
        </w:rPr>
        <w:t>4</w:t>
      </w:r>
      <w:r w:rsidR="000870D2">
        <w:rPr>
          <w:lang w:val="en-GB"/>
        </w:rPr>
        <w:t>.</w:t>
      </w:r>
      <w:r w:rsidR="000870D2">
        <w:rPr>
          <w:lang w:val="en-GB"/>
        </w:rPr>
        <w:tab/>
      </w:r>
      <w:bookmarkEnd w:id="54"/>
      <w:r w:rsidR="00AB107C">
        <w:rPr>
          <w:lang w:val="en-US"/>
        </w:rPr>
        <w:t>The development of the energy market since liberalization</w:t>
      </w:r>
      <w:bookmarkEnd w:id="55"/>
    </w:p>
    <w:p w:rsidR="00AB107C" w:rsidRDefault="00AB107C" w:rsidP="00FD3B3B">
      <w:pPr>
        <w:keepNext/>
        <w:tabs>
          <w:tab w:val="left" w:pos="680"/>
        </w:tabs>
        <w:suppressAutoHyphens/>
        <w:spacing w:before="240" w:line="24" w:lineRule="atLeast"/>
        <w:outlineLvl w:val="2"/>
        <w:rPr>
          <w:rFonts w:cs="Arial"/>
          <w:lang w:val="en-GB"/>
        </w:rPr>
      </w:pPr>
      <w:bookmarkStart w:id="56" w:name="_Toc295225024"/>
      <w:bookmarkStart w:id="57" w:name="_Toc295272715"/>
      <w:r>
        <w:rPr>
          <w:rFonts w:cs="Arial"/>
          <w:lang w:val="en-GB"/>
        </w:rPr>
        <w:t>In general it could be said, that the liberalization of the energy market has had influence on the gas and electricity market. The market of renewable energy was not really developed before the liberalization and so the</w:t>
      </w:r>
      <w:r w:rsidR="0076734E">
        <w:rPr>
          <w:rFonts w:cs="Arial"/>
          <w:lang w:val="en-GB"/>
        </w:rPr>
        <w:t xml:space="preserve">re it would be very hard to </w:t>
      </w:r>
      <w:r>
        <w:rPr>
          <w:rFonts w:cs="Arial"/>
          <w:lang w:val="en-GB"/>
        </w:rPr>
        <w:t>compare today’s market with the market before the liberalizat</w:t>
      </w:r>
      <w:r w:rsidR="0076734E">
        <w:rPr>
          <w:rFonts w:cs="Arial"/>
          <w:lang w:val="en-GB"/>
        </w:rPr>
        <w:t xml:space="preserve">ion. It is to mention that the </w:t>
      </w:r>
      <w:r w:rsidR="00F85776">
        <w:rPr>
          <w:rFonts w:cs="Arial"/>
          <w:lang w:val="en-GB"/>
        </w:rPr>
        <w:t>directives</w:t>
      </w:r>
      <w:r>
        <w:rPr>
          <w:rFonts w:cs="Arial"/>
          <w:lang w:val="en-GB"/>
        </w:rPr>
        <w:t xml:space="preserve"> which has regulated the European energy market has enforced the share of renewable energy sources.</w:t>
      </w:r>
      <w:bookmarkEnd w:id="56"/>
      <w:bookmarkEnd w:id="57"/>
      <w:r>
        <w:rPr>
          <w:rFonts w:cs="Arial"/>
          <w:lang w:val="en-GB"/>
        </w:rPr>
        <w:t xml:space="preserve">  </w:t>
      </w:r>
    </w:p>
    <w:p w:rsidR="00AB107C" w:rsidRPr="00EE041D" w:rsidRDefault="0076734E" w:rsidP="00FD3B3B">
      <w:pPr>
        <w:pStyle w:val="berschrift2"/>
        <w:jc w:val="both"/>
        <w:rPr>
          <w:lang w:val="en-US"/>
        </w:rPr>
      </w:pPr>
      <w:bookmarkStart w:id="58" w:name="_Toc295272716"/>
      <w:r>
        <w:rPr>
          <w:lang w:val="en-GB"/>
        </w:rPr>
        <w:t>4.1</w:t>
      </w:r>
      <w:r w:rsidR="00EE041D">
        <w:rPr>
          <w:lang w:val="en-GB"/>
        </w:rPr>
        <w:t>.</w:t>
      </w:r>
      <w:r w:rsidR="00EE041D">
        <w:rPr>
          <w:lang w:val="en-GB"/>
        </w:rPr>
        <w:tab/>
      </w:r>
      <w:r>
        <w:rPr>
          <w:lang w:val="en-US"/>
        </w:rPr>
        <w:t>The gas market in A</w:t>
      </w:r>
      <w:r w:rsidR="00EE041D">
        <w:rPr>
          <w:lang w:val="en-US"/>
        </w:rPr>
        <w:t>ustria since the liberalization</w:t>
      </w:r>
      <w:bookmarkEnd w:id="58"/>
    </w:p>
    <w:p w:rsidR="00AB107C" w:rsidRDefault="00AB107C" w:rsidP="00FD3B3B">
      <w:pPr>
        <w:keepNext/>
        <w:tabs>
          <w:tab w:val="left" w:pos="680"/>
        </w:tabs>
        <w:suppressAutoHyphens/>
        <w:spacing w:before="240" w:line="24" w:lineRule="atLeast"/>
        <w:outlineLvl w:val="2"/>
        <w:rPr>
          <w:rFonts w:cs="Arial"/>
          <w:lang w:val="en-GB"/>
        </w:rPr>
      </w:pPr>
      <w:bookmarkStart w:id="59" w:name="_Toc295225027"/>
      <w:bookmarkStart w:id="60" w:name="_Toc295272717"/>
      <w:r>
        <w:rPr>
          <w:rFonts w:cs="Arial"/>
          <w:lang w:val="en-GB"/>
        </w:rPr>
        <w:t>In Austria the gas market has been liberalized until 2002 step by step. It is not unimportant do understand how the price in Austria emerge. So the following tries to explain this.</w:t>
      </w:r>
      <w:bookmarkEnd w:id="59"/>
      <w:bookmarkEnd w:id="60"/>
    </w:p>
    <w:p w:rsidR="00AB107C" w:rsidRDefault="00AB107C" w:rsidP="00FD3B3B">
      <w:pPr>
        <w:rPr>
          <w:rFonts w:cs="Arial"/>
          <w:b/>
          <w:lang w:val="en-GB"/>
        </w:rPr>
      </w:pPr>
    </w:p>
    <w:p w:rsidR="00AB107C" w:rsidRPr="00EE041D" w:rsidRDefault="00AB107C" w:rsidP="00FD3B3B">
      <w:pPr>
        <w:rPr>
          <w:lang w:val="en-GB"/>
        </w:rPr>
      </w:pPr>
      <w:r w:rsidRPr="00EE041D">
        <w:rPr>
          <w:rFonts w:cs="Arial"/>
          <w:b/>
          <w:lang w:val="en-GB"/>
        </w:rPr>
        <w:t>The composition of the gas price in Austria</w:t>
      </w:r>
    </w:p>
    <w:p w:rsidR="00AB107C" w:rsidRDefault="00D31241" w:rsidP="00FD3B3B">
      <w:pPr>
        <w:keepNext/>
        <w:tabs>
          <w:tab w:val="left" w:pos="680"/>
        </w:tabs>
        <w:suppressAutoHyphens/>
        <w:spacing w:before="240" w:line="24" w:lineRule="atLeast"/>
        <w:outlineLvl w:val="2"/>
        <w:rPr>
          <w:rFonts w:cs="Arial"/>
          <w:lang w:val="en-GB"/>
        </w:rPr>
      </w:pPr>
      <w:bookmarkStart w:id="61" w:name="_Toc293390665"/>
      <w:r w:rsidRPr="00A57383">
        <w:rPr>
          <w:rFonts w:cs="Arial"/>
          <w:noProof/>
          <w:lang w:eastAsia="de-AT"/>
        </w:rPr>
        <w:pict>
          <v:shape id="Bild 1" o:spid="_x0000_i1031" type="#_x0000_t75" style="width:380.75pt;height:252.3pt;visibility:visible">
            <v:imagedata r:id="rId19" o:title="Gaspreiszusammensetzung_Wien"/>
          </v:shape>
        </w:pict>
      </w:r>
    </w:p>
    <w:p w:rsidR="00AB107C" w:rsidRDefault="00450BBA" w:rsidP="00FD3B3B">
      <w:pPr>
        <w:spacing w:line="24" w:lineRule="atLeast"/>
        <w:rPr>
          <w:rFonts w:cs="Arial"/>
          <w:i/>
          <w:sz w:val="20"/>
          <w:lang w:val="en-GB"/>
        </w:rPr>
      </w:pPr>
      <w:r w:rsidRPr="00450BBA">
        <w:rPr>
          <w:rFonts w:cs="Arial"/>
          <w:i/>
          <w:sz w:val="20"/>
          <w:lang w:val="en-GB"/>
        </w:rPr>
        <w:t>Graph</w:t>
      </w:r>
      <w:r w:rsidR="00AB107C" w:rsidRPr="00450BBA">
        <w:rPr>
          <w:rFonts w:cs="Arial"/>
          <w:i/>
          <w:sz w:val="20"/>
          <w:lang w:val="en-GB"/>
        </w:rPr>
        <w:t xml:space="preserve"> 1: Composition of the complete gas price in the grid area Vienna. (15,000 kWh/a, local su</w:t>
      </w:r>
      <w:r w:rsidR="00AB107C" w:rsidRPr="00450BBA">
        <w:rPr>
          <w:rFonts w:cs="Arial"/>
          <w:i/>
          <w:sz w:val="20"/>
          <w:lang w:val="en-GB"/>
        </w:rPr>
        <w:t>p</w:t>
      </w:r>
      <w:r w:rsidR="00AB107C" w:rsidRPr="00450BBA">
        <w:rPr>
          <w:rFonts w:cs="Arial"/>
          <w:i/>
          <w:sz w:val="20"/>
          <w:lang w:val="en-GB"/>
        </w:rPr>
        <w:t>plier). Red: Energy, orange: grid using charge, yellow: charge for measuring, grey: using tax V</w:t>
      </w:r>
      <w:r w:rsidR="00AB107C" w:rsidRPr="00450BBA">
        <w:rPr>
          <w:rFonts w:cs="Arial"/>
          <w:i/>
          <w:sz w:val="20"/>
          <w:lang w:val="en-GB"/>
        </w:rPr>
        <w:t>i</w:t>
      </w:r>
      <w:r w:rsidR="00AB107C" w:rsidRPr="00450BBA">
        <w:rPr>
          <w:rFonts w:cs="Arial"/>
          <w:i/>
          <w:sz w:val="20"/>
          <w:lang w:val="en-GB"/>
        </w:rPr>
        <w:t xml:space="preserve">enna, light blue: natural gas tax, dark blue: sales tax. </w:t>
      </w:r>
      <w:r>
        <w:rPr>
          <w:rFonts w:cs="Arial"/>
          <w:i/>
          <w:sz w:val="20"/>
          <w:lang w:val="en-GB"/>
        </w:rPr>
        <w:t xml:space="preserve">Source: </w:t>
      </w:r>
      <w:r w:rsidR="00AB107C" w:rsidRPr="00450BBA">
        <w:rPr>
          <w:rFonts w:cs="Arial"/>
          <w:i/>
          <w:sz w:val="20"/>
          <w:lang w:val="en-GB"/>
        </w:rPr>
        <w:t>E-control</w:t>
      </w:r>
    </w:p>
    <w:p w:rsidR="00450BBA" w:rsidRDefault="00450BBA" w:rsidP="00FD3B3B">
      <w:pPr>
        <w:spacing w:line="24" w:lineRule="atLeast"/>
        <w:rPr>
          <w:rFonts w:cs="Arial"/>
          <w:lang w:val="en-GB"/>
        </w:rPr>
      </w:pPr>
    </w:p>
    <w:p w:rsidR="00AB107C" w:rsidRDefault="00450BBA" w:rsidP="00FD3B3B">
      <w:pPr>
        <w:spacing w:line="24" w:lineRule="atLeast"/>
        <w:rPr>
          <w:rFonts w:cs="Arial"/>
          <w:color w:val="FF0000"/>
          <w:lang w:val="en-GB"/>
        </w:rPr>
      </w:pPr>
      <w:r>
        <w:rPr>
          <w:rFonts w:cs="Arial"/>
          <w:lang w:val="en-GB"/>
        </w:rPr>
        <w:t>Graph</w:t>
      </w:r>
      <w:r w:rsidR="00AB107C">
        <w:rPr>
          <w:rFonts w:cs="Arial"/>
          <w:lang w:val="en-GB"/>
        </w:rPr>
        <w:t xml:space="preserve"> 1 shows the composition of the gas price for Vienna on the example of a local su</w:t>
      </w:r>
      <w:r w:rsidR="00AB107C">
        <w:rPr>
          <w:rFonts w:cs="Arial"/>
          <w:lang w:val="en-GB"/>
        </w:rPr>
        <w:t>p</w:t>
      </w:r>
      <w:r w:rsidR="00AB107C">
        <w:rPr>
          <w:rFonts w:cs="Arial"/>
          <w:lang w:val="en-GB"/>
        </w:rPr>
        <w:t>plier. As we can see not even the half of the price is for the commodity itself. Gas itself has only a share of the price of 44%. The allowance to use the grid is responsible for a share of 25%, which is more than the half of the gas share. 17% is the sales tax and 9% is for a tax on gas. The share of 5% which is rest, represents a tax for using and a charge for measuring.</w:t>
      </w:r>
      <w:r w:rsidR="006779EF">
        <w:rPr>
          <w:rStyle w:val="Funotenzeichen"/>
          <w:rFonts w:cs="Arial"/>
          <w:lang w:val="en-GB"/>
        </w:rPr>
        <w:footnoteReference w:id="15"/>
      </w:r>
      <w:r w:rsidR="00477A28">
        <w:rPr>
          <w:rFonts w:cs="Arial"/>
          <w:color w:val="FF0000"/>
          <w:lang w:val="en-GB"/>
        </w:rPr>
        <w:tab/>
      </w:r>
      <w:r w:rsidR="00477A28">
        <w:rPr>
          <w:rFonts w:cs="Arial"/>
          <w:color w:val="FF0000"/>
          <w:lang w:val="en-GB"/>
        </w:rPr>
        <w:tab/>
      </w:r>
      <w:r w:rsidR="00477A28">
        <w:rPr>
          <w:rFonts w:cs="Arial"/>
          <w:color w:val="FF0000"/>
          <w:lang w:val="en-GB"/>
        </w:rPr>
        <w:tab/>
        <w:t xml:space="preserve"> </w:t>
      </w:r>
    </w:p>
    <w:p w:rsidR="006779EF" w:rsidRDefault="00A57383" w:rsidP="00FD3B3B">
      <w:pPr>
        <w:spacing w:line="24" w:lineRule="atLeast"/>
        <w:rPr>
          <w:rFonts w:cs="Arial"/>
          <w:i/>
          <w:sz w:val="20"/>
          <w:lang w:val="en-GB"/>
        </w:rPr>
      </w:pPr>
      <w:r w:rsidRPr="00A57383">
        <w:rPr>
          <w:noProof/>
        </w:rPr>
        <w:pict>
          <v:shape id="_x0000_s1037" type="#_x0000_t75" style="position:absolute;left:0;text-align:left;margin-left:1.95pt;margin-top:7.15pt;width:309.75pt;height:160.05pt;z-index:-2" wrapcoords="-46 0 -46 21511 21600 21511 21600 0 -46 0">
            <v:imagedata r:id="rId20" o:title="verteilung preis_engl"/>
            <w10:wrap type="square"/>
          </v:shape>
        </w:pict>
      </w:r>
    </w:p>
    <w:p w:rsidR="006779EF" w:rsidRDefault="006779EF" w:rsidP="00FD3B3B">
      <w:pPr>
        <w:spacing w:line="24" w:lineRule="atLeast"/>
        <w:rPr>
          <w:rFonts w:cs="Arial"/>
          <w:i/>
          <w:sz w:val="20"/>
          <w:lang w:val="en-GB"/>
        </w:rPr>
      </w:pPr>
      <w:bookmarkStart w:id="62" w:name="_Toc295225028"/>
    </w:p>
    <w:p w:rsidR="006779EF" w:rsidRDefault="006779EF" w:rsidP="00FD3B3B">
      <w:pPr>
        <w:spacing w:line="24" w:lineRule="atLeast"/>
        <w:rPr>
          <w:rFonts w:cs="Arial"/>
          <w:i/>
          <w:sz w:val="20"/>
          <w:lang w:val="en-GB"/>
        </w:rPr>
      </w:pPr>
    </w:p>
    <w:p w:rsidR="006779EF" w:rsidRDefault="006779EF" w:rsidP="00FD3B3B">
      <w:pPr>
        <w:spacing w:line="24" w:lineRule="atLeast"/>
        <w:rPr>
          <w:rFonts w:cs="Arial"/>
          <w:i/>
          <w:sz w:val="20"/>
          <w:lang w:val="en-GB"/>
        </w:rPr>
      </w:pPr>
    </w:p>
    <w:p w:rsidR="006779EF" w:rsidRDefault="006779EF" w:rsidP="00FD3B3B">
      <w:pPr>
        <w:spacing w:line="24" w:lineRule="atLeast"/>
        <w:rPr>
          <w:rFonts w:cs="Arial"/>
          <w:i/>
          <w:sz w:val="20"/>
          <w:lang w:val="en-GB"/>
        </w:rPr>
      </w:pPr>
    </w:p>
    <w:p w:rsidR="006779EF" w:rsidRDefault="006779EF" w:rsidP="00FD3B3B">
      <w:pPr>
        <w:spacing w:line="24" w:lineRule="atLeast"/>
        <w:rPr>
          <w:rFonts w:cs="Arial"/>
          <w:i/>
          <w:sz w:val="20"/>
          <w:lang w:val="en-GB"/>
        </w:rPr>
      </w:pPr>
    </w:p>
    <w:p w:rsidR="006779EF" w:rsidRDefault="006779EF" w:rsidP="00FD3B3B">
      <w:pPr>
        <w:spacing w:line="24" w:lineRule="atLeast"/>
        <w:rPr>
          <w:rFonts w:cs="Arial"/>
          <w:i/>
          <w:sz w:val="20"/>
          <w:lang w:val="en-GB"/>
        </w:rPr>
      </w:pPr>
    </w:p>
    <w:p w:rsidR="006779EF" w:rsidRDefault="006779EF" w:rsidP="00FD3B3B">
      <w:pPr>
        <w:spacing w:line="24" w:lineRule="atLeast"/>
        <w:rPr>
          <w:rFonts w:cs="Arial"/>
          <w:i/>
          <w:sz w:val="20"/>
          <w:lang w:val="en-GB"/>
        </w:rPr>
      </w:pPr>
    </w:p>
    <w:p w:rsidR="006779EF" w:rsidRDefault="006779EF" w:rsidP="00FD3B3B">
      <w:pPr>
        <w:spacing w:line="24" w:lineRule="atLeast"/>
        <w:rPr>
          <w:rFonts w:cs="Arial"/>
          <w:i/>
          <w:sz w:val="20"/>
          <w:lang w:val="en-GB"/>
        </w:rPr>
      </w:pPr>
    </w:p>
    <w:p w:rsidR="006779EF" w:rsidRDefault="00450BBA" w:rsidP="00FD3B3B">
      <w:pPr>
        <w:spacing w:line="24" w:lineRule="atLeast"/>
        <w:rPr>
          <w:rFonts w:cs="Arial"/>
          <w:i/>
          <w:sz w:val="20"/>
          <w:lang w:val="en-GB"/>
        </w:rPr>
      </w:pPr>
      <w:r w:rsidRPr="00450BBA">
        <w:rPr>
          <w:rFonts w:cs="Arial"/>
          <w:i/>
          <w:sz w:val="20"/>
          <w:lang w:val="en-GB"/>
        </w:rPr>
        <w:t>Fig.</w:t>
      </w:r>
      <w:r>
        <w:rPr>
          <w:rFonts w:cs="Arial"/>
          <w:i/>
          <w:sz w:val="20"/>
          <w:lang w:val="en-GB"/>
        </w:rPr>
        <w:t>2</w:t>
      </w:r>
      <w:r w:rsidR="006779EF">
        <w:rPr>
          <w:rFonts w:cs="Arial"/>
          <w:i/>
          <w:sz w:val="20"/>
          <w:lang w:val="en-GB"/>
        </w:rPr>
        <w:t>: The distribution of the gas price.</w:t>
      </w:r>
    </w:p>
    <w:p w:rsidR="006779EF" w:rsidRDefault="00450BBA" w:rsidP="00FD3B3B">
      <w:pPr>
        <w:spacing w:line="24" w:lineRule="atLeast"/>
        <w:rPr>
          <w:rFonts w:cs="Arial"/>
          <w:color w:val="FF0000"/>
          <w:lang w:val="en-GB"/>
        </w:rPr>
      </w:pPr>
      <w:r>
        <w:rPr>
          <w:rFonts w:cs="Arial"/>
          <w:i/>
          <w:sz w:val="20"/>
          <w:lang w:val="en-GB"/>
        </w:rPr>
        <w:t xml:space="preserve">Source: </w:t>
      </w:r>
      <w:r w:rsidR="00477A28" w:rsidRPr="00450BBA">
        <w:rPr>
          <w:rFonts w:cs="Arial"/>
          <w:i/>
          <w:sz w:val="20"/>
          <w:lang w:val="en-GB"/>
        </w:rPr>
        <w:t>E-Control</w:t>
      </w:r>
      <w:bookmarkStart w:id="63" w:name="_Toc295225029"/>
      <w:bookmarkEnd w:id="62"/>
    </w:p>
    <w:p w:rsidR="006779EF" w:rsidRDefault="006779EF" w:rsidP="00FD3B3B">
      <w:pPr>
        <w:spacing w:line="24" w:lineRule="atLeast"/>
        <w:rPr>
          <w:rFonts w:cs="Arial"/>
          <w:color w:val="FF0000"/>
          <w:lang w:val="en-GB"/>
        </w:rPr>
      </w:pPr>
    </w:p>
    <w:p w:rsidR="00477A28" w:rsidRPr="006779EF" w:rsidRDefault="00477A28" w:rsidP="00FD3B3B">
      <w:pPr>
        <w:spacing w:line="24" w:lineRule="atLeast"/>
        <w:rPr>
          <w:rFonts w:cs="Arial"/>
          <w:color w:val="FF0000"/>
          <w:lang w:val="en-GB"/>
        </w:rPr>
      </w:pPr>
      <w:r>
        <w:rPr>
          <w:rFonts w:cs="Arial"/>
          <w:lang w:val="en-GB"/>
        </w:rPr>
        <w:t>The price of energy is the price which the gas distributor gets for the product. In the libe</w:t>
      </w:r>
      <w:r>
        <w:rPr>
          <w:rFonts w:cs="Arial"/>
          <w:lang w:val="en-GB"/>
        </w:rPr>
        <w:t>r</w:t>
      </w:r>
      <w:r>
        <w:rPr>
          <w:rFonts w:cs="Arial"/>
          <w:lang w:val="en-GB"/>
        </w:rPr>
        <w:t>alized Austrian gas market the distributors (suppliers) are in competition and the price is determined by each distributor itself. The grid tariffs get the grid operator. Its price isn’t determined by the supplier, it is determined by Energie-Control Austria, the responsible controlling authority.</w:t>
      </w:r>
      <w:bookmarkEnd w:id="63"/>
      <w:r w:rsidR="006779EF">
        <w:rPr>
          <w:rStyle w:val="Funotenzeichen"/>
          <w:rFonts w:cs="Arial"/>
          <w:lang w:val="en-GB"/>
        </w:rPr>
        <w:footnoteReference w:id="16"/>
      </w:r>
    </w:p>
    <w:p w:rsidR="00AB107C" w:rsidRPr="00EE041D" w:rsidRDefault="00AB107C" w:rsidP="00FD3B3B">
      <w:pPr>
        <w:keepNext/>
        <w:tabs>
          <w:tab w:val="left" w:pos="680"/>
        </w:tabs>
        <w:suppressAutoHyphens/>
        <w:spacing w:before="240" w:line="24" w:lineRule="atLeast"/>
        <w:outlineLvl w:val="2"/>
        <w:rPr>
          <w:rFonts w:cs="Arial"/>
          <w:b/>
          <w:lang w:val="en-GB"/>
        </w:rPr>
      </w:pPr>
      <w:bookmarkStart w:id="64" w:name="_Toc295225030"/>
      <w:bookmarkStart w:id="65" w:name="_Toc295272718"/>
      <w:r w:rsidRPr="00EE041D">
        <w:rPr>
          <w:rFonts w:cs="Arial"/>
          <w:b/>
          <w:lang w:val="en-GB"/>
        </w:rPr>
        <w:t>The development of gas price over the years</w:t>
      </w:r>
      <w:bookmarkEnd w:id="64"/>
      <w:bookmarkEnd w:id="65"/>
    </w:p>
    <w:p w:rsidR="00AB107C" w:rsidRDefault="00450BBA" w:rsidP="00FD3B3B">
      <w:pPr>
        <w:keepNext/>
        <w:tabs>
          <w:tab w:val="left" w:pos="680"/>
        </w:tabs>
        <w:suppressAutoHyphens/>
        <w:spacing w:before="240" w:line="24" w:lineRule="atLeast"/>
        <w:outlineLvl w:val="2"/>
        <w:rPr>
          <w:rFonts w:cs="Arial"/>
          <w:lang w:val="en-GB"/>
        </w:rPr>
      </w:pPr>
      <w:bookmarkStart w:id="66" w:name="_Toc295225031"/>
      <w:bookmarkStart w:id="67" w:name="_Toc295272719"/>
      <w:r>
        <w:rPr>
          <w:rFonts w:cs="Arial"/>
          <w:lang w:val="en-GB"/>
        </w:rPr>
        <w:t>Graph 2</w:t>
      </w:r>
      <w:r w:rsidR="00AB107C">
        <w:rPr>
          <w:rFonts w:cs="Arial"/>
          <w:lang w:val="en-GB"/>
        </w:rPr>
        <w:t xml:space="preserve"> shows the development of the Price Index for gas since January 2001. The base year is 2002, in which the gas market was totally liberalized.</w:t>
      </w:r>
      <w:bookmarkEnd w:id="66"/>
      <w:bookmarkEnd w:id="67"/>
      <w:r w:rsidR="00AB107C">
        <w:rPr>
          <w:rFonts w:cs="Arial"/>
          <w:lang w:val="en-GB"/>
        </w:rPr>
        <w:t xml:space="preserve">  </w:t>
      </w:r>
    </w:p>
    <w:p w:rsidR="00AB107C" w:rsidRPr="00913C9A" w:rsidRDefault="00D31241" w:rsidP="00230FD4">
      <w:pPr>
        <w:keepNext/>
        <w:tabs>
          <w:tab w:val="left" w:pos="680"/>
        </w:tabs>
        <w:suppressAutoHyphens/>
        <w:spacing w:before="240" w:line="24" w:lineRule="atLeast"/>
        <w:jc w:val="center"/>
        <w:outlineLvl w:val="2"/>
        <w:rPr>
          <w:rFonts w:cs="Arial"/>
          <w:lang w:val="en-GB"/>
        </w:rPr>
      </w:pPr>
      <w:r w:rsidRPr="00A57383">
        <w:rPr>
          <w:rFonts w:cs="Arial"/>
          <w:noProof/>
          <w:lang w:eastAsia="de-AT"/>
        </w:rPr>
        <w:pict>
          <v:shape id="Bild 3" o:spid="_x0000_i1032" type="#_x0000_t75" style="width:335.35pt;height:208.85pt;visibility:visible">
            <v:imagedata r:id="rId21" o:title="VPIGas"/>
          </v:shape>
        </w:pict>
      </w:r>
    </w:p>
    <w:p w:rsidR="00AB107C" w:rsidRPr="00A53F85" w:rsidRDefault="00450BBA" w:rsidP="00FD3B3B">
      <w:pPr>
        <w:spacing w:line="24" w:lineRule="atLeast"/>
        <w:rPr>
          <w:rFonts w:cs="Arial"/>
          <w:lang w:val="en-GB"/>
        </w:rPr>
      </w:pPr>
      <w:r w:rsidRPr="00450BBA">
        <w:rPr>
          <w:rFonts w:cs="Arial"/>
          <w:i/>
          <w:sz w:val="20"/>
          <w:lang w:val="en-GB"/>
        </w:rPr>
        <w:t>Graph 2</w:t>
      </w:r>
      <w:r w:rsidR="00AB107C" w:rsidRPr="00450BBA">
        <w:rPr>
          <w:rFonts w:cs="Arial"/>
          <w:i/>
          <w:sz w:val="20"/>
          <w:lang w:val="en-GB"/>
        </w:rPr>
        <w:t>: Price Index of gas with the October 2002 as base (October 2002=100). All taxes and subsidies are included.</w:t>
      </w:r>
      <w:r>
        <w:rPr>
          <w:rFonts w:cs="Arial"/>
          <w:i/>
          <w:sz w:val="20"/>
          <w:lang w:val="en-GB"/>
        </w:rPr>
        <w:tab/>
      </w:r>
      <w:r>
        <w:rPr>
          <w:rFonts w:cs="Arial"/>
          <w:i/>
          <w:sz w:val="20"/>
          <w:lang w:val="en-GB"/>
        </w:rPr>
        <w:tab/>
      </w:r>
      <w:r>
        <w:rPr>
          <w:rFonts w:cs="Arial"/>
          <w:i/>
          <w:sz w:val="20"/>
          <w:lang w:val="en-GB"/>
        </w:rPr>
        <w:tab/>
      </w:r>
      <w:r>
        <w:rPr>
          <w:rFonts w:cs="Arial"/>
          <w:i/>
          <w:sz w:val="20"/>
          <w:lang w:val="en-GB"/>
        </w:rPr>
        <w:tab/>
      </w:r>
      <w:r>
        <w:rPr>
          <w:rFonts w:cs="Arial"/>
          <w:i/>
          <w:sz w:val="20"/>
          <w:lang w:val="en-GB"/>
        </w:rPr>
        <w:tab/>
      </w:r>
      <w:r>
        <w:rPr>
          <w:rFonts w:cs="Arial"/>
          <w:i/>
          <w:sz w:val="20"/>
          <w:lang w:val="en-GB"/>
        </w:rPr>
        <w:tab/>
      </w:r>
      <w:r>
        <w:rPr>
          <w:rFonts w:cs="Arial"/>
          <w:i/>
          <w:sz w:val="20"/>
          <w:lang w:val="en-GB"/>
        </w:rPr>
        <w:tab/>
      </w:r>
      <w:r>
        <w:rPr>
          <w:rFonts w:cs="Arial"/>
          <w:i/>
          <w:sz w:val="20"/>
          <w:lang w:val="en-GB"/>
        </w:rPr>
        <w:tab/>
        <w:t>Source</w:t>
      </w:r>
      <w:r>
        <w:rPr>
          <w:rFonts w:cs="Arial"/>
          <w:i/>
          <w:sz w:val="20"/>
        </w:rPr>
        <w:t>:</w:t>
      </w:r>
      <w:r w:rsidR="00AB107C" w:rsidRPr="00450BBA">
        <w:rPr>
          <w:rFonts w:cs="Arial"/>
          <w:i/>
          <w:sz w:val="20"/>
          <w:lang w:val="en-GB"/>
        </w:rPr>
        <w:t>E-Contro</w:t>
      </w:r>
      <w:r>
        <w:rPr>
          <w:rFonts w:cs="Arial"/>
          <w:i/>
          <w:sz w:val="20"/>
          <w:lang w:val="en-GB"/>
        </w:rPr>
        <w:t>l</w:t>
      </w:r>
    </w:p>
    <w:p w:rsidR="00D72F46" w:rsidRDefault="00AB107C" w:rsidP="00FD3B3B">
      <w:pPr>
        <w:spacing w:line="24" w:lineRule="atLeast"/>
        <w:rPr>
          <w:rFonts w:cs="Arial"/>
          <w:lang w:val="en-GB"/>
        </w:rPr>
      </w:pPr>
      <w:r>
        <w:rPr>
          <w:rFonts w:cs="Arial"/>
          <w:lang w:val="en-GB"/>
        </w:rPr>
        <w:lastRenderedPageBreak/>
        <w:t>In the first years after the liberalization the price development of the gas price was rather constant, and then the price</w:t>
      </w:r>
      <w:r w:rsidR="00F85776">
        <w:rPr>
          <w:rFonts w:cs="Arial"/>
          <w:lang w:val="en-GB"/>
        </w:rPr>
        <w:t xml:space="preserve"> has started rising constantly. </w:t>
      </w:r>
      <w:r>
        <w:rPr>
          <w:rFonts w:cs="Arial"/>
          <w:lang w:val="en-GB"/>
        </w:rPr>
        <w:t>When the European economy was hit by the depression, the price raised enormous by over 15% only in one month. In the phase of recovery of the economy the price</w:t>
      </w:r>
      <w:r w:rsidR="00AA3BE6">
        <w:rPr>
          <w:rFonts w:cs="Arial"/>
          <w:lang w:val="en-GB"/>
        </w:rPr>
        <w:t xml:space="preserve"> sunk by about 15% in one year.</w:t>
      </w:r>
      <w:r w:rsidR="00AA3BE6">
        <w:rPr>
          <w:rStyle w:val="Funotenzeichen"/>
          <w:rFonts w:cs="Arial"/>
          <w:lang w:val="en-GB"/>
        </w:rPr>
        <w:footnoteReference w:id="17"/>
      </w:r>
      <w:r w:rsidR="00AA3BE6">
        <w:rPr>
          <w:rFonts w:cs="Arial"/>
          <w:lang w:val="en-GB"/>
        </w:rPr>
        <w:t xml:space="preserve"> </w:t>
      </w:r>
      <w:r>
        <w:rPr>
          <w:rFonts w:cs="Arial"/>
          <w:lang w:val="en-GB"/>
        </w:rPr>
        <w:t>To make th</w:t>
      </w:r>
      <w:r w:rsidR="00AA3BE6">
        <w:rPr>
          <w:rFonts w:cs="Arial"/>
          <w:lang w:val="en-GB"/>
        </w:rPr>
        <w:t>e interpretation of graph 2</w:t>
      </w:r>
      <w:r>
        <w:rPr>
          <w:rFonts w:cs="Arial"/>
          <w:lang w:val="en-GB"/>
        </w:rPr>
        <w:t xml:space="preserve"> easier, it is to mention that the average inflation in Au</w:t>
      </w:r>
      <w:r>
        <w:rPr>
          <w:rFonts w:cs="Arial"/>
          <w:lang w:val="en-GB"/>
        </w:rPr>
        <w:t>s</w:t>
      </w:r>
      <w:r>
        <w:rPr>
          <w:rFonts w:cs="Arial"/>
          <w:lang w:val="en-GB"/>
        </w:rPr>
        <w:t xml:space="preserve">tria from 2001 to 2010 has been 1.94%. In the years of the main crisis, 2007 and 2008, the average inflation in Austria was 2.7%. </w:t>
      </w:r>
      <w:r w:rsidR="00AA3BE6">
        <w:rPr>
          <w:rFonts w:cs="Arial"/>
          <w:lang w:val="en-GB"/>
        </w:rPr>
        <w:t>In 2008 i</w:t>
      </w:r>
      <w:r w:rsidRPr="0093583C">
        <w:rPr>
          <w:rFonts w:cs="Arial"/>
          <w:lang w:val="en-GB"/>
        </w:rPr>
        <w:t xml:space="preserve">nflation was 3.2%. </w:t>
      </w:r>
      <w:r>
        <w:rPr>
          <w:rFonts w:cs="Arial"/>
          <w:lang w:val="en-GB"/>
        </w:rPr>
        <w:t>In 2009 the inflation was only 0.5% and in 2010 it was about 1.8%.</w:t>
      </w:r>
      <w:r w:rsidR="006779EF">
        <w:rPr>
          <w:rStyle w:val="Funotenzeichen"/>
          <w:rFonts w:cs="Arial"/>
        </w:rPr>
        <w:footnoteReference w:id="18"/>
      </w:r>
      <w:r w:rsidRPr="007C2524">
        <w:rPr>
          <w:rFonts w:cs="Arial"/>
        </w:rPr>
        <w:t xml:space="preserve"> </w:t>
      </w:r>
      <w:r w:rsidRPr="00AF3338">
        <w:rPr>
          <w:rFonts w:cs="Arial"/>
          <w:lang w:val="en-GB"/>
        </w:rPr>
        <w:t>The price for gas is nearly as vulnerable like oil, because the price reacts very strong on political crisis in countries which are i</w:t>
      </w:r>
      <w:r w:rsidRPr="00AF3338">
        <w:rPr>
          <w:rFonts w:cs="Arial"/>
          <w:lang w:val="en-GB"/>
        </w:rPr>
        <w:t>m</w:t>
      </w:r>
      <w:r w:rsidRPr="00AF3338">
        <w:rPr>
          <w:rFonts w:cs="Arial"/>
          <w:lang w:val="en-GB"/>
        </w:rPr>
        <w:t>portant i</w:t>
      </w:r>
      <w:r>
        <w:rPr>
          <w:rFonts w:cs="Arial"/>
          <w:lang w:val="en-GB"/>
        </w:rPr>
        <w:t>n gas exploration and deli</w:t>
      </w:r>
      <w:r>
        <w:rPr>
          <w:rFonts w:cs="Arial"/>
          <w:lang w:val="en-GB"/>
        </w:rPr>
        <w:t>v</w:t>
      </w:r>
      <w:r>
        <w:rPr>
          <w:rFonts w:cs="Arial"/>
          <w:lang w:val="en-GB"/>
        </w:rPr>
        <w:t>ery and on the development of economies.</w:t>
      </w:r>
      <w:r w:rsidRPr="00AF3338">
        <w:rPr>
          <w:rFonts w:cs="Arial"/>
          <w:lang w:val="en-GB"/>
        </w:rPr>
        <w:t xml:space="preserve">  </w:t>
      </w:r>
    </w:p>
    <w:p w:rsidR="00D72F46" w:rsidRDefault="00D72F46" w:rsidP="00FD3B3B">
      <w:pPr>
        <w:spacing w:line="24" w:lineRule="atLeast"/>
        <w:rPr>
          <w:rFonts w:cs="Arial"/>
          <w:lang w:val="en-GB"/>
        </w:rPr>
      </w:pPr>
    </w:p>
    <w:p w:rsidR="00D72F46" w:rsidRPr="00EE041D" w:rsidRDefault="00D72F46" w:rsidP="00FD3B3B">
      <w:pPr>
        <w:spacing w:line="24" w:lineRule="atLeast"/>
        <w:rPr>
          <w:rFonts w:cs="Arial"/>
          <w:lang w:val="en-GB"/>
        </w:rPr>
      </w:pPr>
      <w:r w:rsidRPr="00EE041D">
        <w:rPr>
          <w:rFonts w:cs="Arial"/>
          <w:b/>
          <w:lang w:val="en-GB"/>
        </w:rPr>
        <w:t>The reasons for the increasing gas price since 2002</w:t>
      </w:r>
    </w:p>
    <w:p w:rsidR="00D72F46" w:rsidRDefault="00D72F46" w:rsidP="00FD3B3B">
      <w:pPr>
        <w:spacing w:line="24" w:lineRule="atLeast"/>
        <w:rPr>
          <w:rFonts w:cs="Arial"/>
          <w:lang w:val="en-GB"/>
        </w:rPr>
      </w:pPr>
    </w:p>
    <w:p w:rsidR="00D72F46" w:rsidRPr="00924BE8" w:rsidRDefault="00AA3BE6" w:rsidP="00FD3B3B">
      <w:pPr>
        <w:spacing w:line="24" w:lineRule="atLeast"/>
        <w:rPr>
          <w:rFonts w:cs="Arial"/>
          <w:lang w:val="en-GB"/>
        </w:rPr>
      </w:pPr>
      <w:r>
        <w:rPr>
          <w:rFonts w:cs="Arial"/>
          <w:lang w:val="en-GB"/>
        </w:rPr>
        <w:t>As we have seen in graph 2</w:t>
      </w:r>
      <w:r w:rsidR="00D72F46">
        <w:rPr>
          <w:rFonts w:cs="Arial"/>
          <w:lang w:val="en-GB"/>
        </w:rPr>
        <w:t xml:space="preserve"> the price of gas increased since the liberalization. For sure it is not possible to blame the market liberalization alone for this price increase. The price is also strong connected to political crisis and the development of the economy. But a r</w:t>
      </w:r>
      <w:r w:rsidR="00D72F46">
        <w:rPr>
          <w:rFonts w:cs="Arial"/>
          <w:lang w:val="en-GB"/>
        </w:rPr>
        <w:t>e</w:t>
      </w:r>
      <w:r w:rsidR="00D72F46">
        <w:rPr>
          <w:rFonts w:cs="Arial"/>
          <w:lang w:val="en-GB"/>
        </w:rPr>
        <w:t>search by the Austrian Energy Agceny (AEA) for the Arbeiterkammer, in English Official Representation of Employees, blamed the energy suppliers in a very strong way. The AEA did researches by eleven gas suppliers in Austria between July 2008 and June 2010. They compared the gas prices for the households and the trade price for gas. The trade price for gas has fallen by about 1/5 between July 2008 and June 2010 but the gas prices for the household have risen by about 5%. Only some Austrian suppliers have sunk their prices, most increased the prices. For instance TIGAS natural gas Tyrol has increased their prices by 22%. The AEA has interpreted their result that the market liberalization and the free pricing give not the promised advantage to the customers. On the other hand cu</w:t>
      </w:r>
      <w:r w:rsidR="00D72F46">
        <w:rPr>
          <w:rFonts w:cs="Arial"/>
          <w:lang w:val="en-GB"/>
        </w:rPr>
        <w:t>s</w:t>
      </w:r>
      <w:r w:rsidR="00D72F46">
        <w:rPr>
          <w:rFonts w:cs="Arial"/>
          <w:lang w:val="en-GB"/>
        </w:rPr>
        <w:t>tomers compare the different prices of the suppliers not enough, which would be very i</w:t>
      </w:r>
      <w:r w:rsidR="00D72F46">
        <w:rPr>
          <w:rFonts w:cs="Arial"/>
          <w:lang w:val="en-GB"/>
        </w:rPr>
        <w:t>m</w:t>
      </w:r>
      <w:r w:rsidR="00D72F46">
        <w:rPr>
          <w:rFonts w:cs="Arial"/>
          <w:lang w:val="en-GB"/>
        </w:rPr>
        <w:t>portant for the competition on the market an in the following for the price development. As the reader can see also the passing of prices doesn’t work.</w:t>
      </w:r>
      <w:r w:rsidR="006779EF">
        <w:rPr>
          <w:rStyle w:val="Funotenzeichen"/>
          <w:rFonts w:cs="Arial"/>
          <w:lang w:val="en-GB"/>
        </w:rPr>
        <w:footnoteReference w:id="19"/>
      </w:r>
    </w:p>
    <w:p w:rsidR="00D72F46" w:rsidRDefault="0076734E" w:rsidP="00FD3B3B">
      <w:pPr>
        <w:pStyle w:val="berschrift2"/>
        <w:jc w:val="both"/>
        <w:rPr>
          <w:lang w:val="en-US"/>
        </w:rPr>
      </w:pPr>
      <w:bookmarkStart w:id="68" w:name="_Toc295272720"/>
      <w:r>
        <w:rPr>
          <w:lang w:val="en-GB"/>
        </w:rPr>
        <w:t>4.2.</w:t>
      </w:r>
      <w:r>
        <w:rPr>
          <w:lang w:val="en-GB"/>
        </w:rPr>
        <w:tab/>
      </w:r>
      <w:r w:rsidR="006779EF">
        <w:rPr>
          <w:lang w:val="en-US"/>
        </w:rPr>
        <w:t>The gas market in the Czech Republic</w:t>
      </w:r>
      <w:r>
        <w:rPr>
          <w:lang w:val="en-US"/>
        </w:rPr>
        <w:t xml:space="preserve"> since the liberalization</w:t>
      </w:r>
      <w:bookmarkEnd w:id="68"/>
    </w:p>
    <w:p w:rsidR="00F37846" w:rsidRDefault="00F37846" w:rsidP="00FD3B3B">
      <w:pPr>
        <w:rPr>
          <w:lang w:val="en-US"/>
        </w:rPr>
      </w:pPr>
      <w:r w:rsidRPr="00F37846">
        <w:rPr>
          <w:lang w:val="en-US"/>
        </w:rPr>
        <w:t>Czech energy re</w:t>
      </w:r>
      <w:r w:rsidR="00230FD4">
        <w:rPr>
          <w:lang w:val="en-US"/>
        </w:rPr>
        <w:t>gular (ERO</w:t>
      </w:r>
      <w:r w:rsidRPr="00F37846">
        <w:rPr>
          <w:lang w:val="en-US"/>
        </w:rPr>
        <w:t xml:space="preserve">) </w:t>
      </w:r>
      <w:r w:rsidR="002D060D">
        <w:rPr>
          <w:lang w:val="en-US"/>
        </w:rPr>
        <w:t>has declared</w:t>
      </w:r>
      <w:r w:rsidRPr="00F37846">
        <w:rPr>
          <w:lang w:val="en-US"/>
        </w:rPr>
        <w:t xml:space="preserve"> a series of decrees</w:t>
      </w:r>
      <w:r w:rsidR="00B5353C">
        <w:rPr>
          <w:lang w:val="en-US"/>
        </w:rPr>
        <w:t>,</w:t>
      </w:r>
      <w:r w:rsidRPr="00F37846">
        <w:rPr>
          <w:lang w:val="en-US"/>
        </w:rPr>
        <w:t xml:space="preserve"> </w:t>
      </w:r>
      <w:r w:rsidR="002D060D">
        <w:rPr>
          <w:lang w:val="en-US"/>
        </w:rPr>
        <w:t xml:space="preserve">describing </w:t>
      </w:r>
      <w:r w:rsidRPr="00F37846">
        <w:rPr>
          <w:lang w:val="en-US"/>
        </w:rPr>
        <w:t>the rules for the organization of the gas market</w:t>
      </w:r>
      <w:r w:rsidR="002D060D">
        <w:rPr>
          <w:lang w:val="en-US"/>
        </w:rPr>
        <w:t xml:space="preserve"> and its gradual opening.</w:t>
      </w:r>
      <w:r>
        <w:rPr>
          <w:lang w:val="en-US"/>
        </w:rPr>
        <w:t xml:space="preserve"> </w:t>
      </w:r>
      <w:r w:rsidRPr="00F37846">
        <w:rPr>
          <w:lang w:val="en-US"/>
        </w:rPr>
        <w:t>In order to ensure transparency and equal conditions, the former monopoly</w:t>
      </w:r>
      <w:r w:rsidR="00A95CEE">
        <w:rPr>
          <w:lang w:val="en-US"/>
        </w:rPr>
        <w:t xml:space="preserve"> </w:t>
      </w:r>
      <w:r w:rsidR="002D060D">
        <w:rPr>
          <w:lang w:val="en-US"/>
        </w:rPr>
        <w:t>is obliged to legally unbundle</w:t>
      </w:r>
      <w:r w:rsidRPr="00F37846">
        <w:rPr>
          <w:lang w:val="en-US"/>
        </w:rPr>
        <w:t>. This step e</w:t>
      </w:r>
      <w:r w:rsidRPr="00F37846">
        <w:rPr>
          <w:lang w:val="en-US"/>
        </w:rPr>
        <w:t>n</w:t>
      </w:r>
      <w:r w:rsidRPr="00F37846">
        <w:rPr>
          <w:lang w:val="en-US"/>
        </w:rPr>
        <w:t>sures a clear separation of the</w:t>
      </w:r>
      <w:r w:rsidR="00A95CEE">
        <w:rPr>
          <w:lang w:val="en-US"/>
        </w:rPr>
        <w:t xml:space="preserve"> activities of system operators</w:t>
      </w:r>
      <w:r w:rsidRPr="00F37846">
        <w:rPr>
          <w:lang w:val="en-US"/>
        </w:rPr>
        <w:t xml:space="preserve"> and the traders.</w:t>
      </w:r>
      <w:r w:rsidR="00A95CEE">
        <w:rPr>
          <w:lang w:val="en-US"/>
        </w:rPr>
        <w:t xml:space="preserve"> The comp</w:t>
      </w:r>
      <w:r w:rsidR="00A95CEE">
        <w:rPr>
          <w:lang w:val="en-US"/>
        </w:rPr>
        <w:t>e</w:t>
      </w:r>
      <w:r w:rsidR="00A95CEE">
        <w:rPr>
          <w:lang w:val="en-US"/>
        </w:rPr>
        <w:t xml:space="preserve">tition among </w:t>
      </w:r>
      <w:r w:rsidRPr="00F37846">
        <w:rPr>
          <w:lang w:val="en-US"/>
        </w:rPr>
        <w:t>traders should reduce the price of gas for the final consumers and provide more equal profit opportunities for all compa</w:t>
      </w:r>
      <w:r w:rsidR="00A95CEE">
        <w:rPr>
          <w:lang w:val="en-US"/>
        </w:rPr>
        <w:t>nies and reduce prices for final customers.</w:t>
      </w:r>
    </w:p>
    <w:p w:rsidR="00F37846" w:rsidRPr="00F37846" w:rsidRDefault="00082681" w:rsidP="00FD3B3B">
      <w:pPr>
        <w:rPr>
          <w:lang w:val="en-US"/>
        </w:rPr>
      </w:pPr>
      <w:r>
        <w:rPr>
          <w:lang w:val="en-US"/>
        </w:rPr>
        <w:t>From January 2006 all consumers</w:t>
      </w:r>
      <w:r w:rsidR="003B181A">
        <w:rPr>
          <w:lang w:val="en-US"/>
        </w:rPr>
        <w:t xml:space="preserve"> except householders we</w:t>
      </w:r>
      <w:r>
        <w:rPr>
          <w:lang w:val="en-US"/>
        </w:rPr>
        <w:t>re considered as eligible cu</w:t>
      </w:r>
      <w:r>
        <w:rPr>
          <w:lang w:val="en-US"/>
        </w:rPr>
        <w:t>s</w:t>
      </w:r>
      <w:r>
        <w:rPr>
          <w:lang w:val="en-US"/>
        </w:rPr>
        <w:t xml:space="preserve">tomers, so they can choose their supplier. Householders </w:t>
      </w:r>
      <w:r w:rsidR="003B181A">
        <w:rPr>
          <w:lang w:val="en-US"/>
        </w:rPr>
        <w:t>were</w:t>
      </w:r>
      <w:r>
        <w:rPr>
          <w:lang w:val="en-US"/>
        </w:rPr>
        <w:t xml:space="preserve"> regarded as captive cu</w:t>
      </w:r>
      <w:r>
        <w:rPr>
          <w:lang w:val="en-US"/>
        </w:rPr>
        <w:t>s</w:t>
      </w:r>
      <w:r>
        <w:rPr>
          <w:lang w:val="en-US"/>
        </w:rPr>
        <w:t xml:space="preserve">tomers, that are served by the former monopoly and the price of gas supplied to them is regulated by ERO. But the process of </w:t>
      </w:r>
      <w:r w:rsidR="003B181A">
        <w:rPr>
          <w:lang w:val="en-US"/>
        </w:rPr>
        <w:t>opening the market was</w:t>
      </w:r>
      <w:r>
        <w:rPr>
          <w:lang w:val="en-US"/>
        </w:rPr>
        <w:t xml:space="preserve"> not as expected and </w:t>
      </w:r>
      <w:r w:rsidR="003B181A">
        <w:rPr>
          <w:lang w:val="en-US"/>
        </w:rPr>
        <w:t>there we</w:t>
      </w:r>
      <w:r w:rsidR="00F37846" w:rsidRPr="00F37846">
        <w:rPr>
          <w:lang w:val="en-US"/>
        </w:rPr>
        <w:t>re no new natural gas suppli</w:t>
      </w:r>
      <w:r>
        <w:rPr>
          <w:lang w:val="en-US"/>
        </w:rPr>
        <w:t>ers. P</w:t>
      </w:r>
      <w:r w:rsidR="00F37846" w:rsidRPr="00F37846">
        <w:rPr>
          <w:lang w:val="en-US"/>
        </w:rPr>
        <w:t>rices for eligible customers have significantly i</w:t>
      </w:r>
      <w:r w:rsidR="00F37846" w:rsidRPr="00F37846">
        <w:rPr>
          <w:lang w:val="en-US"/>
        </w:rPr>
        <w:t>n</w:t>
      </w:r>
      <w:r w:rsidR="00F37846" w:rsidRPr="00F37846">
        <w:rPr>
          <w:lang w:val="en-US"/>
        </w:rPr>
        <w:t>creased. Due to these facts, in the beginning of 2006 the ERO re-introduced regulation of prices even for eligible customers.</w:t>
      </w:r>
    </w:p>
    <w:p w:rsidR="00F37846" w:rsidRPr="00AA3BE6" w:rsidRDefault="00F37846" w:rsidP="00FD3B3B">
      <w:pPr>
        <w:rPr>
          <w:lang w:val="en-US"/>
        </w:rPr>
      </w:pPr>
    </w:p>
    <w:p w:rsidR="006779EF" w:rsidRDefault="00D31241" w:rsidP="00FD3B3B">
      <w:pPr>
        <w:rPr>
          <w:lang w:val="en-US"/>
        </w:rPr>
      </w:pPr>
      <w:r w:rsidRPr="00A57383">
        <w:rPr>
          <w:lang w:val="en-US"/>
        </w:rPr>
        <w:lastRenderedPageBreak/>
        <w:pict>
          <v:shape id="_x0000_i1033" type="#_x0000_t75" style="width:394.4pt;height:274.4pt">
            <v:imagedata r:id="rId22" o:title="plyn austria CZ_crop"/>
          </v:shape>
        </w:pict>
      </w:r>
    </w:p>
    <w:p w:rsidR="00716AF7" w:rsidRDefault="00BE553E" w:rsidP="00FD3B3B">
      <w:pPr>
        <w:rPr>
          <w:i/>
          <w:sz w:val="20"/>
          <w:lang w:val="en-US"/>
        </w:rPr>
      </w:pPr>
      <w:r w:rsidRPr="00BE553E">
        <w:rPr>
          <w:i/>
          <w:sz w:val="20"/>
          <w:lang w:val="en-US"/>
        </w:rPr>
        <w:t xml:space="preserve">Graph 3: Gas prices in CZ and AT in the period 2000-2010 </w:t>
      </w:r>
      <w:r w:rsidRPr="00BE553E">
        <w:rPr>
          <w:i/>
          <w:sz w:val="20"/>
          <w:lang w:val="en-US"/>
        </w:rPr>
        <w:tab/>
      </w:r>
      <w:r>
        <w:rPr>
          <w:i/>
          <w:sz w:val="20"/>
          <w:lang w:val="en-US"/>
        </w:rPr>
        <w:tab/>
      </w:r>
      <w:r w:rsidR="00D44E0D">
        <w:rPr>
          <w:i/>
          <w:sz w:val="20"/>
          <w:lang w:val="en-US"/>
        </w:rPr>
        <w:t xml:space="preserve"> </w:t>
      </w:r>
      <w:r w:rsidRPr="00BE553E">
        <w:rPr>
          <w:i/>
          <w:sz w:val="20"/>
          <w:lang w:val="en-US"/>
        </w:rPr>
        <w:t>Source: Eurostat</w:t>
      </w:r>
    </w:p>
    <w:p w:rsidR="00716AF7" w:rsidRDefault="00716AF7" w:rsidP="00FD3B3B">
      <w:pPr>
        <w:rPr>
          <w:i/>
          <w:sz w:val="20"/>
          <w:lang w:val="en-US"/>
        </w:rPr>
      </w:pPr>
    </w:p>
    <w:p w:rsidR="00624D45" w:rsidRDefault="00716AF7" w:rsidP="00FD3B3B">
      <w:pPr>
        <w:rPr>
          <w:rFonts w:cs="Arial"/>
          <w:lang w:val="en-GB"/>
        </w:rPr>
      </w:pPr>
      <w:r>
        <w:rPr>
          <w:rFonts w:cs="Arial"/>
          <w:lang w:val="en-GB"/>
        </w:rPr>
        <w:t>T</w:t>
      </w:r>
      <w:r w:rsidR="003B181A">
        <w:rPr>
          <w:rFonts w:cs="Arial"/>
          <w:lang w:val="en-GB"/>
        </w:rPr>
        <w:t xml:space="preserve">he development of gas price in the Czech Republic is </w:t>
      </w:r>
      <w:r w:rsidR="00AF6080">
        <w:rPr>
          <w:rFonts w:cs="Arial"/>
          <w:lang w:val="en-GB"/>
        </w:rPr>
        <w:t xml:space="preserve">fairly </w:t>
      </w:r>
      <w:r w:rsidR="003B181A">
        <w:rPr>
          <w:rFonts w:cs="Arial"/>
          <w:lang w:val="en-GB"/>
        </w:rPr>
        <w:t>analogous to Austrian ma</w:t>
      </w:r>
      <w:r w:rsidR="003B181A">
        <w:rPr>
          <w:rFonts w:cs="Arial"/>
          <w:lang w:val="en-GB"/>
        </w:rPr>
        <w:t>r</w:t>
      </w:r>
      <w:r w:rsidR="003B181A">
        <w:rPr>
          <w:rFonts w:cs="Arial"/>
          <w:lang w:val="en-GB"/>
        </w:rPr>
        <w:t>ket. The price of gas in the Czech Republic</w:t>
      </w:r>
      <w:r w:rsidR="003B181A" w:rsidRPr="003B181A">
        <w:rPr>
          <w:rFonts w:cs="Arial"/>
          <w:lang w:val="en-GB"/>
        </w:rPr>
        <w:t xml:space="preserve"> increased th</w:t>
      </w:r>
      <w:r w:rsidR="003B181A">
        <w:rPr>
          <w:rFonts w:cs="Arial"/>
          <w:lang w:val="en-GB"/>
        </w:rPr>
        <w:t>reefold in the period 2000-2010 as you can see in the graph 3.</w:t>
      </w:r>
    </w:p>
    <w:p w:rsidR="00AF6080" w:rsidRDefault="00AF6080" w:rsidP="00FD3B3B">
      <w:pPr>
        <w:pStyle w:val="berschrift1"/>
        <w:jc w:val="both"/>
      </w:pPr>
      <w:bookmarkStart w:id="69" w:name="_Toc295272721"/>
    </w:p>
    <w:p w:rsidR="00624D45" w:rsidRDefault="0076734E" w:rsidP="00FD3B3B">
      <w:pPr>
        <w:pStyle w:val="berschrift1"/>
        <w:jc w:val="both"/>
      </w:pPr>
      <w:r>
        <w:t>5</w:t>
      </w:r>
      <w:r w:rsidR="000A77E8">
        <w:t>.</w:t>
      </w:r>
      <w:r w:rsidR="000A77E8">
        <w:tab/>
      </w:r>
      <w:bookmarkEnd w:id="61"/>
      <w:r w:rsidR="00D72F46">
        <w:t>th</w:t>
      </w:r>
      <w:r w:rsidR="00716AF7">
        <w:t xml:space="preserve">e electricity market </w:t>
      </w:r>
      <w:r w:rsidR="00D72F46">
        <w:t>since the liberalization</w:t>
      </w:r>
      <w:bookmarkEnd w:id="69"/>
    </w:p>
    <w:p w:rsidR="00624D45" w:rsidRDefault="00586ABB" w:rsidP="00FD3B3B">
      <w:pPr>
        <w:rPr>
          <w:rFonts w:cs="Arial"/>
          <w:lang w:val="en-GB"/>
        </w:rPr>
      </w:pPr>
      <w:r>
        <w:rPr>
          <w:rFonts w:cs="Arial"/>
          <w:lang w:val="en-GB"/>
        </w:rPr>
        <w:t>Here the text focuses on the second form of energy</w:t>
      </w:r>
      <w:r w:rsidR="00B5353C">
        <w:rPr>
          <w:rFonts w:cs="Arial"/>
          <w:lang w:val="en-GB"/>
        </w:rPr>
        <w:t>,</w:t>
      </w:r>
      <w:r>
        <w:rPr>
          <w:rFonts w:cs="Arial"/>
          <w:lang w:val="en-GB"/>
        </w:rPr>
        <w:t xml:space="preserve"> which </w:t>
      </w:r>
      <w:r w:rsidR="00B5353C">
        <w:rPr>
          <w:rFonts w:cs="Arial"/>
          <w:lang w:val="en-GB"/>
        </w:rPr>
        <w:t xml:space="preserve">has </w:t>
      </w:r>
      <w:r>
        <w:rPr>
          <w:rFonts w:cs="Arial"/>
          <w:lang w:val="en-GB"/>
        </w:rPr>
        <w:t>played a central role in the European market liberalization, electricity. The electricity market in Austria is complete liberali</w:t>
      </w:r>
      <w:r w:rsidR="00716AF7">
        <w:rPr>
          <w:rFonts w:cs="Arial"/>
          <w:lang w:val="en-GB"/>
        </w:rPr>
        <w:t>zed since first of October 2001. In the Czech Republic it is since January 2006.</w:t>
      </w:r>
    </w:p>
    <w:p w:rsidR="00624D45" w:rsidRDefault="00586ABB" w:rsidP="00AF6080">
      <w:pPr>
        <w:pStyle w:val="berschrift2"/>
        <w:ind w:left="0" w:firstLine="0"/>
        <w:jc w:val="both"/>
        <w:rPr>
          <w:lang w:val="en-GB"/>
        </w:rPr>
      </w:pPr>
      <w:bookmarkStart w:id="70" w:name="_Toc295272722"/>
      <w:r>
        <w:rPr>
          <w:lang w:val="en-GB"/>
        </w:rPr>
        <w:t>5.1</w:t>
      </w:r>
      <w:r>
        <w:rPr>
          <w:lang w:val="en-GB"/>
        </w:rPr>
        <w:tab/>
      </w:r>
      <w:r w:rsidRPr="00E01CA7">
        <w:rPr>
          <w:lang w:val="en-GB"/>
        </w:rPr>
        <w:t>The composition of the electricity price in Austria</w:t>
      </w:r>
      <w:r>
        <w:rPr>
          <w:lang w:val="en-GB"/>
        </w:rPr>
        <w:t xml:space="preserve"> and Czech Republic</w:t>
      </w:r>
      <w:bookmarkEnd w:id="70"/>
    </w:p>
    <w:p w:rsidR="00586ABB" w:rsidRDefault="00716AF7" w:rsidP="00FD3B3B">
      <w:pPr>
        <w:rPr>
          <w:rFonts w:cs="Arial"/>
          <w:lang w:val="en-GB"/>
        </w:rPr>
      </w:pPr>
      <w:r>
        <w:rPr>
          <w:rFonts w:cs="Arial"/>
          <w:lang w:val="en-GB"/>
        </w:rPr>
        <w:t>To understand the development of prices of electricity</w:t>
      </w:r>
      <w:r w:rsidR="00B5353C">
        <w:rPr>
          <w:rFonts w:cs="Arial"/>
          <w:lang w:val="en-GB"/>
        </w:rPr>
        <w:t>,</w:t>
      </w:r>
      <w:r>
        <w:rPr>
          <w:rFonts w:cs="Arial"/>
          <w:lang w:val="en-GB"/>
        </w:rPr>
        <w:t xml:space="preserve"> it is valuable to look at their co</w:t>
      </w:r>
      <w:r>
        <w:rPr>
          <w:rFonts w:cs="Arial"/>
          <w:lang w:val="en-GB"/>
        </w:rPr>
        <w:t>m</w:t>
      </w:r>
      <w:r>
        <w:rPr>
          <w:rFonts w:cs="Arial"/>
          <w:lang w:val="en-GB"/>
        </w:rPr>
        <w:t xml:space="preserve">position. </w:t>
      </w:r>
      <w:r w:rsidR="00B5353C">
        <w:rPr>
          <w:rFonts w:cs="Arial"/>
          <w:lang w:val="en-GB"/>
        </w:rPr>
        <w:t>Comparing</w:t>
      </w:r>
      <w:r>
        <w:rPr>
          <w:rFonts w:cs="Arial"/>
          <w:lang w:val="en-GB"/>
        </w:rPr>
        <w:t xml:space="preserve"> Austrian and Czech prices t</w:t>
      </w:r>
      <w:r w:rsidR="00586ABB">
        <w:rPr>
          <w:rFonts w:cs="Arial"/>
          <w:lang w:val="en-GB"/>
        </w:rPr>
        <w:t>he share of taxes is considerably higher in Austria. In 2010 electricity price paid by end-users was formed from 28% by all taxes (VAT i</w:t>
      </w:r>
      <w:r w:rsidR="00586ABB">
        <w:rPr>
          <w:rFonts w:cs="Arial"/>
          <w:lang w:val="en-GB"/>
        </w:rPr>
        <w:t>n</w:t>
      </w:r>
      <w:r w:rsidR="00586ABB">
        <w:rPr>
          <w:rFonts w:cs="Arial"/>
          <w:lang w:val="en-GB"/>
        </w:rPr>
        <w:t>cluded). In Czech Republic it was only 18%.</w:t>
      </w:r>
    </w:p>
    <w:p w:rsidR="00586ABB" w:rsidRDefault="00D31241" w:rsidP="00FD3B3B">
      <w:pPr>
        <w:keepNext/>
        <w:tabs>
          <w:tab w:val="left" w:pos="680"/>
        </w:tabs>
        <w:suppressAutoHyphens/>
        <w:spacing w:before="240" w:line="240" w:lineRule="auto"/>
        <w:outlineLvl w:val="2"/>
      </w:pPr>
      <w:r w:rsidRPr="00A57383">
        <w:rPr>
          <w:rFonts w:cs="Arial"/>
          <w:noProof/>
          <w:lang w:eastAsia="cs-CZ"/>
        </w:rPr>
        <w:lastRenderedPageBreak/>
        <w:pict>
          <v:shape id="Graf 1" o:spid="_x0000_i1034" type="#_x0000_t75" style="width:393.1pt;height:208.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">
            <v:imagedata r:id="rId23" o:title="" cropbottom="-25f"/>
            <o:lock v:ext="edit" aspectratio="f"/>
          </v:shape>
        </w:pict>
      </w:r>
    </w:p>
    <w:p w:rsidR="00716AF7" w:rsidRDefault="00716AF7" w:rsidP="00FD3B3B">
      <w:pPr>
        <w:pStyle w:val="Beschriftung"/>
        <w:rPr>
          <w:b w:val="0"/>
          <w:i/>
        </w:rPr>
      </w:pPr>
      <w:r w:rsidRPr="00716AF7">
        <w:rPr>
          <w:b w:val="0"/>
          <w:i/>
        </w:rPr>
        <w:t>Graph</w:t>
      </w:r>
      <w:r w:rsidR="00586ABB" w:rsidRPr="00716AF7">
        <w:rPr>
          <w:b w:val="0"/>
          <w:i/>
        </w:rPr>
        <w:t xml:space="preserve"> 4 Share of taxes paid by end-users in 2010</w:t>
      </w:r>
      <w:r w:rsidR="00586ABB" w:rsidRPr="00716AF7">
        <w:rPr>
          <w:b w:val="0"/>
          <w:i/>
        </w:rPr>
        <w:tab/>
      </w:r>
      <w:r>
        <w:rPr>
          <w:b w:val="0"/>
          <w:i/>
        </w:rPr>
        <w:tab/>
      </w:r>
      <w:r>
        <w:rPr>
          <w:b w:val="0"/>
          <w:i/>
        </w:rPr>
        <w:tab/>
      </w:r>
      <w:r w:rsidR="00586ABB" w:rsidRPr="00716AF7">
        <w:rPr>
          <w:b w:val="0"/>
          <w:i/>
        </w:rPr>
        <w:t>Source: Eurostat</w:t>
      </w:r>
    </w:p>
    <w:p w:rsidR="00FD3B3B" w:rsidRDefault="00FD3B3B" w:rsidP="00FD3B3B">
      <w:pPr>
        <w:pStyle w:val="Beschriftung"/>
        <w:rPr>
          <w:rFonts w:cs="Arial"/>
          <w:b w:val="0"/>
          <w:sz w:val="22"/>
          <w:szCs w:val="22"/>
          <w:lang w:val="en-GB"/>
        </w:rPr>
      </w:pPr>
    </w:p>
    <w:p w:rsidR="00430969" w:rsidRDefault="00586ABB" w:rsidP="00FD3B3B">
      <w:pPr>
        <w:pStyle w:val="Beschriftung"/>
        <w:rPr>
          <w:rFonts w:cs="Arial"/>
          <w:b w:val="0"/>
          <w:sz w:val="22"/>
          <w:szCs w:val="22"/>
          <w:lang w:val="en-GB"/>
        </w:rPr>
      </w:pPr>
      <w:r w:rsidRPr="00716AF7">
        <w:rPr>
          <w:rFonts w:cs="Arial"/>
          <w:b w:val="0"/>
          <w:sz w:val="22"/>
          <w:szCs w:val="22"/>
          <w:lang w:val="en-GB"/>
        </w:rPr>
        <w:t>The electricity price in Austria consists of the price of the energy itself, the grid price and taxes. The following figure shows this on the example of a local supplier in Vienna.</w:t>
      </w:r>
    </w:p>
    <w:p w:rsidR="00430969" w:rsidRDefault="00D31241" w:rsidP="00FD3B3B">
      <w:pPr>
        <w:pStyle w:val="Beschriftung"/>
      </w:pPr>
      <w:r>
        <w:pict>
          <v:shape id="_x0000_i1035" type="#_x0000_t75" style="width:439.15pt;height:370.4pt;mso-position-horizontal-relative:text;mso-position-vertical-relative:text;mso-width-relative:page;mso-height-relative:page">
            <v:imagedata r:id="rId24" o:title="Strompreiszusammensetzung_überarb"/>
          </v:shape>
        </w:pict>
      </w:r>
    </w:p>
    <w:p w:rsidR="00586ABB" w:rsidRPr="00430969" w:rsidRDefault="00430969" w:rsidP="00FD3B3B">
      <w:pPr>
        <w:pStyle w:val="Beschriftung"/>
        <w:rPr>
          <w:b w:val="0"/>
          <w:i/>
        </w:rPr>
      </w:pPr>
      <w:r>
        <w:rPr>
          <w:b w:val="0"/>
          <w:i/>
        </w:rPr>
        <w:t>Graph</w:t>
      </w:r>
      <w:r w:rsidR="00586ABB" w:rsidRPr="00430969">
        <w:rPr>
          <w:b w:val="0"/>
          <w:i/>
        </w:rPr>
        <w:t>. 5: The composition of the electricity price, for household customers (3,500 kWh), on the example of a local supplier in Vienna</w:t>
      </w:r>
      <w:r w:rsidR="00586ABB" w:rsidRPr="00430969">
        <w:rPr>
          <w:b w:val="0"/>
          <w:i/>
        </w:rPr>
        <w:tab/>
      </w:r>
      <w:r w:rsidR="00586ABB" w:rsidRPr="00430969">
        <w:rPr>
          <w:b w:val="0"/>
          <w:i/>
        </w:rPr>
        <w:tab/>
      </w:r>
      <w:r>
        <w:rPr>
          <w:b w:val="0"/>
          <w:i/>
        </w:rPr>
        <w:tab/>
      </w:r>
      <w:r>
        <w:rPr>
          <w:b w:val="0"/>
          <w:i/>
        </w:rPr>
        <w:tab/>
      </w:r>
      <w:r>
        <w:rPr>
          <w:b w:val="0"/>
          <w:i/>
        </w:rPr>
        <w:tab/>
      </w:r>
      <w:r w:rsidR="00586ABB" w:rsidRPr="00430969">
        <w:rPr>
          <w:b w:val="0"/>
          <w:i/>
        </w:rPr>
        <w:t>Source: E-Control</w:t>
      </w:r>
    </w:p>
    <w:p w:rsidR="00586ABB" w:rsidRPr="00430969" w:rsidRDefault="00430969" w:rsidP="00FD3B3B">
      <w:pPr>
        <w:keepNext/>
        <w:tabs>
          <w:tab w:val="left" w:pos="680"/>
        </w:tabs>
        <w:suppressAutoHyphens/>
        <w:spacing w:before="240" w:line="240" w:lineRule="auto"/>
        <w:outlineLvl w:val="2"/>
        <w:rPr>
          <w:rFonts w:cs="Arial"/>
          <w:lang w:val="en-GB"/>
        </w:rPr>
      </w:pPr>
      <w:bookmarkStart w:id="71" w:name="_Toc295272723"/>
      <w:r>
        <w:rPr>
          <w:rFonts w:cs="Arial"/>
          <w:lang w:val="en-GB"/>
        </w:rPr>
        <w:lastRenderedPageBreak/>
        <w:t>As we can see in this graph</w:t>
      </w:r>
      <w:r w:rsidR="00586ABB" w:rsidRPr="00430969">
        <w:rPr>
          <w:rFonts w:cs="Arial"/>
          <w:lang w:val="en-GB"/>
        </w:rPr>
        <w:t xml:space="preserve"> also on the Vienna electricity market itself the price for the customer consists only by 40% of the energy price itself. The rest are taxes and charges. The charge for the allowance to use the grid is over 18% and the turnover tax is 16.67%, the electricity levy is over 7% of the price. About 3.5% of the total price is a levy for the city of Vienna and the charge for grid losses make out over 2% of the price for electricity.</w:t>
      </w:r>
      <w:r w:rsidRPr="00430969">
        <w:rPr>
          <w:rStyle w:val="Funotenzeichen"/>
          <w:rFonts w:cs="Arial"/>
          <w:lang w:val="en-GB"/>
        </w:rPr>
        <w:footnoteReference w:id="20"/>
      </w:r>
      <w:bookmarkEnd w:id="71"/>
    </w:p>
    <w:p w:rsidR="00586ABB" w:rsidRPr="00430969" w:rsidRDefault="00B5353C" w:rsidP="00FD3B3B">
      <w:pPr>
        <w:keepNext/>
        <w:tabs>
          <w:tab w:val="left" w:pos="680"/>
        </w:tabs>
        <w:suppressAutoHyphens/>
        <w:spacing w:before="240" w:line="240" w:lineRule="auto"/>
        <w:outlineLvl w:val="2"/>
        <w:rPr>
          <w:rFonts w:cs="Arial"/>
          <w:lang w:val="en-GB"/>
        </w:rPr>
      </w:pPr>
      <w:bookmarkStart w:id="72" w:name="_Toc295272724"/>
      <w:r>
        <w:rPr>
          <w:rFonts w:cs="Arial"/>
          <w:lang w:val="en-GB"/>
        </w:rPr>
        <w:t>In 2010 energy itself forms 42.</w:t>
      </w:r>
      <w:r w:rsidR="00586ABB" w:rsidRPr="00430969">
        <w:rPr>
          <w:rFonts w:cs="Arial"/>
          <w:lang w:val="en-GB"/>
        </w:rPr>
        <w:t>3 % of electricity price i</w:t>
      </w:r>
      <w:r>
        <w:rPr>
          <w:rFonts w:cs="Arial"/>
          <w:lang w:val="en-GB"/>
        </w:rPr>
        <w:t>n Czech Republic. Taxes were 17.4%, renewables and CHP 4.</w:t>
      </w:r>
      <w:r w:rsidR="00586ABB" w:rsidRPr="00430969">
        <w:rPr>
          <w:rFonts w:cs="Arial"/>
          <w:lang w:val="en-GB"/>
        </w:rPr>
        <w:t>2 %. Distribution and transmissi</w:t>
      </w:r>
      <w:r>
        <w:rPr>
          <w:rFonts w:cs="Arial"/>
          <w:lang w:val="en-GB"/>
        </w:rPr>
        <w:t>on charges all together were 36.</w:t>
      </w:r>
      <w:r w:rsidR="00586ABB" w:rsidRPr="00430969">
        <w:rPr>
          <w:rFonts w:cs="Arial"/>
          <w:lang w:val="en-GB"/>
        </w:rPr>
        <w:t>1%.</w:t>
      </w:r>
      <w:r w:rsidR="00430969">
        <w:rPr>
          <w:rFonts w:cs="Arial"/>
          <w:lang w:val="en-GB"/>
        </w:rPr>
        <w:t xml:space="preserve"> More details in the graph</w:t>
      </w:r>
      <w:r w:rsidR="00586ABB" w:rsidRPr="00430969">
        <w:rPr>
          <w:rFonts w:cs="Arial"/>
          <w:lang w:val="en-GB"/>
        </w:rPr>
        <w:t xml:space="preserve"> 6.</w:t>
      </w:r>
      <w:bookmarkEnd w:id="72"/>
    </w:p>
    <w:p w:rsidR="00586ABB" w:rsidRDefault="00D31241" w:rsidP="00FD3B3B">
      <w:pPr>
        <w:keepNext/>
        <w:tabs>
          <w:tab w:val="left" w:pos="680"/>
        </w:tabs>
        <w:suppressAutoHyphens/>
        <w:spacing w:before="240" w:line="240" w:lineRule="auto"/>
        <w:outlineLvl w:val="2"/>
      </w:pPr>
      <w:r w:rsidRPr="00A57383">
        <w:rPr>
          <w:rFonts w:cs="Arial"/>
          <w:lang w:val="en-GB"/>
        </w:rPr>
        <w:pict>
          <v:shape id="_x0000_i1036" type="#_x0000_t75" style="width:416.45pt;height:247.15pt">
            <v:imagedata r:id="rId25" o:title="rozlozeni"/>
          </v:shape>
        </w:pict>
      </w:r>
    </w:p>
    <w:p w:rsidR="00624D45" w:rsidRDefault="00430969" w:rsidP="00FD3B3B">
      <w:pPr>
        <w:pStyle w:val="Beschriftung"/>
        <w:rPr>
          <w:b w:val="0"/>
          <w:i/>
          <w:noProof/>
        </w:rPr>
      </w:pPr>
      <w:r w:rsidRPr="00430969">
        <w:rPr>
          <w:b w:val="0"/>
          <w:i/>
        </w:rPr>
        <w:t>Graph</w:t>
      </w:r>
      <w:r w:rsidR="00586ABB" w:rsidRPr="00430969">
        <w:rPr>
          <w:b w:val="0"/>
          <w:i/>
        </w:rPr>
        <w:t xml:space="preserve"> 6 Composition of residential electricity prices in CZ 2010</w:t>
      </w:r>
      <w:r w:rsidR="00586ABB" w:rsidRPr="00430969">
        <w:rPr>
          <w:b w:val="0"/>
          <w:i/>
          <w:noProof/>
        </w:rPr>
        <w:tab/>
      </w:r>
      <w:r>
        <w:rPr>
          <w:b w:val="0"/>
          <w:i/>
          <w:noProof/>
        </w:rPr>
        <w:tab/>
      </w:r>
      <w:r>
        <w:rPr>
          <w:b w:val="0"/>
          <w:i/>
          <w:noProof/>
        </w:rPr>
        <w:tab/>
      </w:r>
      <w:r w:rsidR="00586ABB" w:rsidRPr="00430969">
        <w:rPr>
          <w:b w:val="0"/>
          <w:i/>
          <w:noProof/>
        </w:rPr>
        <w:t>Source: ERU</w:t>
      </w:r>
    </w:p>
    <w:p w:rsidR="00624D45" w:rsidRPr="00624D45" w:rsidRDefault="00624D45" w:rsidP="00FD3B3B"/>
    <w:p w:rsidR="00624D45" w:rsidRPr="00852060" w:rsidRDefault="00430969" w:rsidP="00FD3B3B">
      <w:pPr>
        <w:pStyle w:val="berschrift2"/>
        <w:jc w:val="both"/>
      </w:pPr>
      <w:bookmarkStart w:id="73" w:name="_Toc295272725"/>
      <w:r w:rsidRPr="00852060">
        <w:t>5.2</w:t>
      </w:r>
      <w:r w:rsidR="00852060" w:rsidRPr="00852060">
        <w:tab/>
      </w:r>
      <w:r w:rsidR="00586ABB" w:rsidRPr="00852060">
        <w:t>The development of electricity price over the years</w:t>
      </w:r>
      <w:bookmarkEnd w:id="73"/>
    </w:p>
    <w:p w:rsidR="00624D45" w:rsidRDefault="00624D45" w:rsidP="00FD3B3B">
      <w:pPr>
        <w:pStyle w:val="Beschriftung"/>
        <w:rPr>
          <w:rFonts w:cs="Arial"/>
          <w:b w:val="0"/>
          <w:sz w:val="22"/>
          <w:lang w:val="en-GB"/>
        </w:rPr>
      </w:pPr>
    </w:p>
    <w:p w:rsidR="00586ABB" w:rsidRPr="00624D45" w:rsidRDefault="00586ABB" w:rsidP="00FD3B3B">
      <w:pPr>
        <w:pStyle w:val="Beschriftung"/>
        <w:rPr>
          <w:rFonts w:cs="Arial"/>
          <w:b w:val="0"/>
          <w:sz w:val="22"/>
          <w:lang w:val="en-GB"/>
        </w:rPr>
      </w:pPr>
      <w:r w:rsidRPr="00624D45">
        <w:rPr>
          <w:rFonts w:cs="Arial"/>
          <w:b w:val="0"/>
          <w:sz w:val="22"/>
          <w:lang w:val="en-GB"/>
        </w:rPr>
        <w:t>As we see at figure 7 the prices in the AT were stagnating until 2006 and started to i</w:t>
      </w:r>
      <w:r w:rsidRPr="00624D45">
        <w:rPr>
          <w:rFonts w:cs="Arial"/>
          <w:b w:val="0"/>
          <w:sz w:val="22"/>
          <w:lang w:val="en-GB"/>
        </w:rPr>
        <w:t>n</w:t>
      </w:r>
      <w:r w:rsidRPr="00624D45">
        <w:rPr>
          <w:rFonts w:cs="Arial"/>
          <w:b w:val="0"/>
          <w:sz w:val="22"/>
          <w:lang w:val="en-GB"/>
        </w:rPr>
        <w:t>crease rapidly afterwards. Prices in the CZ were c</w:t>
      </w:r>
      <w:r w:rsidR="00B5353C">
        <w:rPr>
          <w:rFonts w:cs="Arial"/>
          <w:b w:val="0"/>
          <w:sz w:val="22"/>
          <w:lang w:val="en-GB"/>
        </w:rPr>
        <w:t>onstantly increasing from the 0.</w:t>
      </w:r>
      <w:r w:rsidRPr="00624D45">
        <w:rPr>
          <w:rFonts w:cs="Arial"/>
          <w:b w:val="0"/>
          <w:sz w:val="22"/>
          <w:lang w:val="en-GB"/>
        </w:rPr>
        <w:t xml:space="preserve">05 Euro/kWh in 2000 to 0,11 Euro/kWh in 2010. </w:t>
      </w:r>
    </w:p>
    <w:p w:rsidR="00586ABB" w:rsidRDefault="00D31241" w:rsidP="00FD3B3B">
      <w:pPr>
        <w:keepNext/>
        <w:tabs>
          <w:tab w:val="left" w:pos="680"/>
        </w:tabs>
        <w:suppressAutoHyphens/>
        <w:spacing w:before="240" w:line="240" w:lineRule="auto"/>
        <w:outlineLvl w:val="2"/>
      </w:pPr>
      <w:r w:rsidRPr="00A57383">
        <w:rPr>
          <w:rFonts w:cs="Arial"/>
          <w:b/>
          <w:noProof/>
          <w:lang w:eastAsia="cs-CZ"/>
        </w:rPr>
        <w:lastRenderedPageBreak/>
        <w:pict>
          <v:shape id="Graf 2" o:spid="_x0000_i1037" type="#_x0000_t75" style="width:452.1pt;height:26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">
            <v:imagedata r:id="rId26" o:title="" cropbottom="-50f"/>
            <o:lock v:ext="edit" aspectratio="f"/>
          </v:shape>
        </w:pict>
      </w:r>
    </w:p>
    <w:p w:rsidR="00430969" w:rsidRDefault="00430969" w:rsidP="00FD3B3B">
      <w:pPr>
        <w:pStyle w:val="Beschriftung"/>
        <w:rPr>
          <w:b w:val="0"/>
          <w:i/>
        </w:rPr>
      </w:pPr>
      <w:r w:rsidRPr="00430969">
        <w:rPr>
          <w:b w:val="0"/>
          <w:i/>
        </w:rPr>
        <w:t xml:space="preserve">Graph 7: </w:t>
      </w:r>
      <w:r>
        <w:rPr>
          <w:b w:val="0"/>
          <w:i/>
        </w:rPr>
        <w:t>Develop</w:t>
      </w:r>
      <w:r w:rsidR="00586ABB" w:rsidRPr="00430969">
        <w:rPr>
          <w:b w:val="0"/>
          <w:i/>
        </w:rPr>
        <w:t>ment of electricity prices for h</w:t>
      </w:r>
      <w:r>
        <w:rPr>
          <w:b w:val="0"/>
          <w:i/>
        </w:rPr>
        <w:t xml:space="preserve">ousehold consumers in AT and CZ                                 </w:t>
      </w:r>
      <w:r w:rsidR="00586ABB" w:rsidRPr="00430969">
        <w:rPr>
          <w:b w:val="0"/>
          <w:i/>
        </w:rPr>
        <w:t>Source: Eurostat</w:t>
      </w:r>
    </w:p>
    <w:p w:rsidR="00586ABB" w:rsidRPr="00430969" w:rsidRDefault="00430969" w:rsidP="00FD3B3B">
      <w:pPr>
        <w:pStyle w:val="Beschriftung"/>
        <w:rPr>
          <w:rFonts w:cs="Arial"/>
          <w:b w:val="0"/>
          <w:sz w:val="22"/>
          <w:szCs w:val="22"/>
          <w:lang w:val="en-GB"/>
        </w:rPr>
      </w:pPr>
      <w:r w:rsidRPr="00430969">
        <w:rPr>
          <w:rFonts w:cs="Arial"/>
          <w:b w:val="0"/>
          <w:sz w:val="22"/>
          <w:szCs w:val="22"/>
          <w:lang w:val="en-GB"/>
        </w:rPr>
        <w:t>Graph 8</w:t>
      </w:r>
      <w:r w:rsidR="00586ABB" w:rsidRPr="00430969">
        <w:rPr>
          <w:rFonts w:cs="Arial"/>
          <w:b w:val="0"/>
          <w:sz w:val="22"/>
          <w:szCs w:val="22"/>
          <w:lang w:val="en-GB"/>
        </w:rPr>
        <w:t xml:space="preserve"> shows the development of the Price Index for electricity since January 1999 in Austria. The base year is 2001, which is the year in which the electricity market was totally liberalized.  In the figure the most important changes are mentioned. </w:t>
      </w:r>
    </w:p>
    <w:p w:rsidR="00586ABB" w:rsidRDefault="00D31241" w:rsidP="00FD3B3B">
      <w:pPr>
        <w:keepNext/>
        <w:tabs>
          <w:tab w:val="left" w:pos="680"/>
        </w:tabs>
        <w:suppressAutoHyphens/>
        <w:spacing w:before="240" w:line="240" w:lineRule="auto"/>
        <w:outlineLvl w:val="2"/>
      </w:pPr>
      <w:r>
        <w:pict>
          <v:shape id="_x0000_i1038" type="#_x0000_t75" style="width:476.75pt;height:288.65pt">
            <v:imagedata r:id="rId27" o:title="VPI Strom_neu_engl"/>
          </v:shape>
        </w:pict>
      </w:r>
    </w:p>
    <w:p w:rsidR="00586ABB" w:rsidRPr="00430969" w:rsidRDefault="00430969" w:rsidP="00FD3B3B">
      <w:pPr>
        <w:pStyle w:val="Beschriftung"/>
        <w:rPr>
          <w:b w:val="0"/>
          <w:i/>
          <w:noProof/>
        </w:rPr>
      </w:pPr>
      <w:r>
        <w:rPr>
          <w:b w:val="0"/>
          <w:i/>
          <w:noProof/>
        </w:rPr>
        <w:t>Graph</w:t>
      </w:r>
      <w:r w:rsidR="00586ABB" w:rsidRPr="00430969">
        <w:rPr>
          <w:b w:val="0"/>
          <w:i/>
          <w:noProof/>
        </w:rPr>
        <w:t xml:space="preserve"> 8: The development of electricity price index since (VPI) since 1999 with October 2001 as the base</w:t>
      </w:r>
      <w:r w:rsidR="00586ABB" w:rsidRPr="00430969">
        <w:rPr>
          <w:b w:val="0"/>
          <w:i/>
          <w:noProof/>
        </w:rPr>
        <w:tab/>
      </w:r>
      <w:r>
        <w:rPr>
          <w:b w:val="0"/>
          <w:i/>
          <w:noProof/>
        </w:rPr>
        <w:tab/>
      </w:r>
      <w:r>
        <w:rPr>
          <w:b w:val="0"/>
          <w:i/>
          <w:noProof/>
        </w:rPr>
        <w:tab/>
      </w:r>
      <w:r>
        <w:rPr>
          <w:b w:val="0"/>
          <w:i/>
          <w:noProof/>
        </w:rPr>
        <w:tab/>
      </w:r>
      <w:r>
        <w:rPr>
          <w:b w:val="0"/>
          <w:i/>
          <w:noProof/>
        </w:rPr>
        <w:tab/>
      </w:r>
      <w:r>
        <w:rPr>
          <w:b w:val="0"/>
          <w:i/>
          <w:noProof/>
        </w:rPr>
        <w:tab/>
      </w:r>
      <w:r>
        <w:rPr>
          <w:b w:val="0"/>
          <w:i/>
          <w:noProof/>
        </w:rPr>
        <w:tab/>
      </w:r>
      <w:r w:rsidR="00586ABB" w:rsidRPr="00430969">
        <w:rPr>
          <w:b w:val="0"/>
          <w:i/>
          <w:noProof/>
        </w:rPr>
        <w:t>Source: E-control</w:t>
      </w:r>
    </w:p>
    <w:p w:rsidR="00586ABB" w:rsidRDefault="00586ABB" w:rsidP="00FD3B3B"/>
    <w:p w:rsidR="00AF6080" w:rsidRDefault="00AF6080" w:rsidP="00AF6080">
      <w:pPr>
        <w:rPr>
          <w:rFonts w:cs="Arial"/>
          <w:lang w:val="en-GB"/>
        </w:rPr>
      </w:pPr>
      <w:r>
        <w:rPr>
          <w:rFonts w:cs="Arial"/>
          <w:lang w:val="en-GB"/>
        </w:rPr>
        <w:lastRenderedPageBreak/>
        <w:t>The first phase of liberalization was in 1999. Short after the first opening of the market the price felt down. Before the market was liberalized totally the pri</w:t>
      </w:r>
      <w:r w:rsidR="00B5353C">
        <w:rPr>
          <w:rFonts w:cs="Arial"/>
          <w:lang w:val="en-GB"/>
        </w:rPr>
        <w:t>ce rose very fast, but after the</w:t>
      </w:r>
      <w:r>
        <w:rPr>
          <w:rFonts w:cs="Arial"/>
          <w:lang w:val="en-GB"/>
        </w:rPr>
        <w:t>s</w:t>
      </w:r>
      <w:r w:rsidR="00B5353C">
        <w:rPr>
          <w:rFonts w:cs="Arial"/>
          <w:lang w:val="en-GB"/>
        </w:rPr>
        <w:t>e</w:t>
      </w:r>
      <w:r>
        <w:rPr>
          <w:rFonts w:cs="Arial"/>
          <w:lang w:val="en-GB"/>
        </w:rPr>
        <w:t xml:space="preserve"> increases the price was rather resilient. In the end of 2001 the price felt by some pe</w:t>
      </w:r>
      <w:r>
        <w:rPr>
          <w:rFonts w:cs="Arial"/>
          <w:lang w:val="en-GB"/>
        </w:rPr>
        <w:t>r</w:t>
      </w:r>
      <w:r>
        <w:rPr>
          <w:rFonts w:cs="Arial"/>
          <w:lang w:val="en-GB"/>
        </w:rPr>
        <w:t xml:space="preserve">cent. Over the following years the price was constantly increasing by some percent each year, without huge amplitudes. But in January 2007 and in November and December 2009 the price increased rapidly. Especially the increase in 2007 is not comprehensible because of a decrease of the grid charge. To compare with the inflation rates of the years, please have a look on 3.1.2. The </w:t>
      </w:r>
      <w:r w:rsidR="00B5353C">
        <w:rPr>
          <w:rFonts w:cs="Arial"/>
          <w:lang w:val="en-GB"/>
        </w:rPr>
        <w:t>price of the electricity hasn’t</w:t>
      </w:r>
      <w:r>
        <w:rPr>
          <w:rFonts w:cs="Arial"/>
          <w:lang w:val="en-GB"/>
        </w:rPr>
        <w:t xml:space="preserve"> </w:t>
      </w:r>
      <w:r w:rsidR="00B5353C">
        <w:rPr>
          <w:rFonts w:cs="Arial"/>
          <w:lang w:val="en-GB"/>
        </w:rPr>
        <w:t>risen</w:t>
      </w:r>
      <w:r>
        <w:rPr>
          <w:rFonts w:cs="Arial"/>
          <w:lang w:val="en-GB"/>
        </w:rPr>
        <w:t xml:space="preserve"> so vulnerable like the gas price.</w:t>
      </w:r>
      <w:r>
        <w:rPr>
          <w:rStyle w:val="Funotenzeichen"/>
          <w:rFonts w:cs="Arial"/>
          <w:lang w:val="en-GB"/>
        </w:rPr>
        <w:footnoteReference w:id="21"/>
      </w:r>
    </w:p>
    <w:p w:rsidR="00AF6080" w:rsidRDefault="00AF6080" w:rsidP="00FD3B3B"/>
    <w:p w:rsidR="00586ABB" w:rsidRPr="00161675" w:rsidRDefault="00586ABB" w:rsidP="00FD3B3B">
      <w:r>
        <w:t>Situation of Czech Rep</w:t>
      </w:r>
      <w:r w:rsidR="00430969">
        <w:t>ublic is described in the graph</w:t>
      </w:r>
      <w:r>
        <w:t xml:space="preserve"> 9. Prices slightly increased in the period 1991-1997. The growth of electricity prices for residental users was lower than general inflation. Residental sector was cross subsidized by industrial sector. That was cutt off in 1999 by government desicion and fast growth occured between 1999 and 2002. </w:t>
      </w:r>
    </w:p>
    <w:p w:rsidR="00586ABB" w:rsidRDefault="00D31241" w:rsidP="00FD3B3B">
      <w:pPr>
        <w:keepNext/>
      </w:pPr>
      <w:r>
        <w:pict>
          <v:shape id="_x0000_i1039" type="#_x0000_t75" style="width:439.15pt;height:241.3pt">
            <v:imagedata r:id="rId28" o:title="ceny v CR"/>
          </v:shape>
        </w:pict>
      </w:r>
    </w:p>
    <w:p w:rsidR="00586ABB" w:rsidRDefault="00586ABB" w:rsidP="00FD3B3B">
      <w:pPr>
        <w:keepNext/>
      </w:pPr>
    </w:p>
    <w:p w:rsidR="00586ABB" w:rsidRPr="00430969" w:rsidRDefault="00430969" w:rsidP="00FD3B3B">
      <w:pPr>
        <w:pStyle w:val="Beschriftung"/>
        <w:rPr>
          <w:b w:val="0"/>
          <w:i/>
        </w:rPr>
      </w:pPr>
      <w:r w:rsidRPr="00430969">
        <w:rPr>
          <w:b w:val="0"/>
          <w:i/>
        </w:rPr>
        <w:t>Graph</w:t>
      </w:r>
      <w:r w:rsidR="00586ABB" w:rsidRPr="00430969">
        <w:rPr>
          <w:b w:val="0"/>
          <w:i/>
        </w:rPr>
        <w:t xml:space="preserve"> 9</w:t>
      </w:r>
      <w:r w:rsidR="00586ABB" w:rsidRPr="00430969">
        <w:rPr>
          <w:b w:val="0"/>
          <w:i/>
          <w:noProof/>
        </w:rPr>
        <w:t xml:space="preserve"> The development of electricity prices in the CZ (1980 - 2008)</w:t>
      </w:r>
      <w:r w:rsidR="00586ABB" w:rsidRPr="00430969">
        <w:rPr>
          <w:b w:val="0"/>
          <w:i/>
          <w:noProof/>
        </w:rPr>
        <w:tab/>
      </w:r>
      <w:r>
        <w:rPr>
          <w:b w:val="0"/>
          <w:i/>
          <w:noProof/>
        </w:rPr>
        <w:tab/>
      </w:r>
      <w:r w:rsidR="00586ABB" w:rsidRPr="00430969">
        <w:rPr>
          <w:b w:val="0"/>
          <w:i/>
          <w:noProof/>
        </w:rPr>
        <w:t>Source: ERU</w:t>
      </w:r>
    </w:p>
    <w:p w:rsidR="00586ABB" w:rsidRPr="00430969" w:rsidRDefault="00586ABB" w:rsidP="00FD3B3B">
      <w:pPr>
        <w:pStyle w:val="berschrift2"/>
        <w:ind w:left="0" w:firstLine="0"/>
        <w:jc w:val="both"/>
        <w:rPr>
          <w:color w:val="auto"/>
          <w:sz w:val="22"/>
          <w:lang w:val="en-GB"/>
        </w:rPr>
      </w:pPr>
      <w:bookmarkStart w:id="74" w:name="_Toc295272726"/>
      <w:r w:rsidRPr="00430969">
        <w:rPr>
          <w:color w:val="auto"/>
          <w:sz w:val="22"/>
          <w:lang w:val="en-GB"/>
        </w:rPr>
        <w:t>The reasons for the increasing electricity price</w:t>
      </w:r>
      <w:bookmarkEnd w:id="74"/>
    </w:p>
    <w:p w:rsidR="00586ABB" w:rsidRDefault="00586ABB" w:rsidP="00FD3B3B">
      <w:pPr>
        <w:keepNext/>
        <w:tabs>
          <w:tab w:val="left" w:pos="680"/>
        </w:tabs>
        <w:suppressAutoHyphens/>
        <w:spacing w:before="240" w:line="240" w:lineRule="auto"/>
        <w:outlineLvl w:val="2"/>
        <w:rPr>
          <w:rFonts w:cs="Arial"/>
          <w:lang w:val="en-GB"/>
        </w:rPr>
      </w:pPr>
      <w:bookmarkStart w:id="75" w:name="_Toc295272727"/>
      <w:r>
        <w:rPr>
          <w:rFonts w:cs="Arial"/>
          <w:lang w:val="en-GB"/>
        </w:rPr>
        <w:t xml:space="preserve">The Austrian Energy Agency, AEA, even researched the electricity market for the Arbeiterkammer (Official Representation of Employees). 14 electricity suppliers have been investigated by the AEA between July 2008 and June 2010. The electricity prices for households have been compared to trade price for electricity. While the prices raised by 5.5%, the trade price sunk by about 1/5. While the prices for electricity rose until January 2009 on the electricity stock exchange EEX in Leipzig, the price changes were relayed to the customers. But since June 2009 the prices have been falling, but these changes haven’t relayed to the households. Even here the argument is mentioned that the liberalization of the electricity market has not brought the promised positive aspects along. The AEA even here mentions that customers have to compare more the prices of the </w:t>
      </w:r>
      <w:r>
        <w:rPr>
          <w:rFonts w:cs="Arial"/>
          <w:lang w:val="en-GB"/>
        </w:rPr>
        <w:lastRenderedPageBreak/>
        <w:t>supplying companies and that the companies have to relay even the positive price</w:t>
      </w:r>
      <w:r w:rsidR="00430969">
        <w:rPr>
          <w:rFonts w:cs="Arial"/>
          <w:lang w:val="en-GB"/>
        </w:rPr>
        <w:t xml:space="preserve"> developments to the customers.</w:t>
      </w:r>
      <w:r w:rsidR="00430969">
        <w:rPr>
          <w:rStyle w:val="Funotenzeichen"/>
          <w:rFonts w:cs="Arial"/>
          <w:lang w:val="en-GB"/>
        </w:rPr>
        <w:footnoteReference w:id="22"/>
      </w:r>
      <w:bookmarkEnd w:id="75"/>
    </w:p>
    <w:p w:rsidR="00D72F46" w:rsidRDefault="00D72F46" w:rsidP="00FD3B3B">
      <w:pPr>
        <w:rPr>
          <w:lang w:val="en-GB"/>
        </w:rPr>
      </w:pPr>
    </w:p>
    <w:p w:rsidR="00D72F46" w:rsidRDefault="00D72F46" w:rsidP="00FD3B3B">
      <w:pPr>
        <w:rPr>
          <w:rFonts w:cs="Arial"/>
          <w:b/>
          <w:lang w:val="en-GB"/>
        </w:rPr>
      </w:pPr>
      <w:r>
        <w:rPr>
          <w:rFonts w:cs="Arial"/>
          <w:b/>
          <w:lang w:val="en-GB"/>
        </w:rPr>
        <w:t>The reactions after the liberalization</w:t>
      </w:r>
    </w:p>
    <w:p w:rsidR="00D72F46" w:rsidRDefault="00D72F46" w:rsidP="00FD3B3B">
      <w:pPr>
        <w:rPr>
          <w:rFonts w:cs="Arial"/>
          <w:b/>
          <w:lang w:val="en-GB"/>
        </w:rPr>
      </w:pPr>
    </w:p>
    <w:p w:rsidR="00D72F46" w:rsidRPr="00366C71" w:rsidRDefault="00D72F46" w:rsidP="00FD3B3B">
      <w:pPr>
        <w:spacing w:line="24" w:lineRule="atLeast"/>
        <w:rPr>
          <w:iCs/>
          <w:lang w:val="en-GB"/>
        </w:rPr>
      </w:pPr>
      <w:r>
        <w:rPr>
          <w:rFonts w:cs="Arial"/>
          <w:lang w:val="en-GB"/>
        </w:rPr>
        <w:t xml:space="preserve">One year after the liberalization of the electricity market and short after the liberalization of the gas market in Austria, Schneider and Mader of the University of Linz (AUT) published an empirical study about levies concerning the liberalization.   </w:t>
      </w:r>
    </w:p>
    <w:p w:rsidR="00D72F46" w:rsidRDefault="00D72F46" w:rsidP="00FD3B3B">
      <w:pPr>
        <w:pStyle w:val="Odrky"/>
        <w:numPr>
          <w:ilvl w:val="0"/>
          <w:numId w:val="0"/>
        </w:numPr>
        <w:spacing w:line="24" w:lineRule="atLeast"/>
        <w:rPr>
          <w:lang w:val="en-US"/>
        </w:rPr>
      </w:pPr>
      <w:r>
        <w:rPr>
          <w:lang w:val="en-US"/>
        </w:rPr>
        <w:t>For their levy they asked 600 industrial companies, 150 electricity companies, 42 gas companies and 307 households.</w:t>
      </w:r>
    </w:p>
    <w:p w:rsidR="00D72F46" w:rsidRDefault="00D72F46" w:rsidP="00FD3B3B">
      <w:pPr>
        <w:pStyle w:val="Odrky"/>
        <w:numPr>
          <w:ilvl w:val="0"/>
          <w:numId w:val="0"/>
        </w:numPr>
        <w:spacing w:line="24" w:lineRule="atLeast"/>
        <w:rPr>
          <w:lang w:val="en-US"/>
        </w:rPr>
      </w:pPr>
      <w:r>
        <w:rPr>
          <w:lang w:val="en-US"/>
        </w:rPr>
        <w:t xml:space="preserve">15.5% of the companies have changed the electricity supplier after liberalization. All of these companies who changed the electricity supplier maintained that the change have brought along cost benefits for them. 37.5% of the companies which could have reached a markdown for electricity of about 30-40% have changed their supplier. Of these who only could reach 0-10% markdown, no company has changed. </w:t>
      </w:r>
    </w:p>
    <w:p w:rsidR="00D72F46" w:rsidRDefault="00D72F46" w:rsidP="00FD3B3B">
      <w:pPr>
        <w:pStyle w:val="Odrky"/>
        <w:numPr>
          <w:ilvl w:val="0"/>
          <w:numId w:val="0"/>
        </w:numPr>
        <w:spacing w:line="24" w:lineRule="atLeast"/>
        <w:rPr>
          <w:lang w:val="en-US"/>
        </w:rPr>
      </w:pPr>
      <w:r>
        <w:rPr>
          <w:lang w:val="en-US"/>
        </w:rPr>
        <w:t xml:space="preserve">In the following the reasons for the companies which didn’t change. </w:t>
      </w:r>
    </w:p>
    <w:p w:rsidR="00D72F46" w:rsidRDefault="00D72F46" w:rsidP="00FD3B3B">
      <w:pPr>
        <w:pStyle w:val="Odrky"/>
        <w:numPr>
          <w:ilvl w:val="0"/>
          <w:numId w:val="0"/>
        </w:numPr>
        <w:spacing w:line="24" w:lineRule="atLeast"/>
        <w:rPr>
          <w:lang w:val="en-US"/>
        </w:rPr>
      </w:pPr>
      <w:r>
        <w:rPr>
          <w:lang w:val="en-US"/>
        </w:rPr>
        <w:t>3.8% didn’t change because of insufficient information. 62.5% mentioned that they are satisfied with their current supplier. 45% mentioned “other reasons”. This could be, that the current supplier has had the best offer, no chance to change because of long-range contract commitment, or that they haven’t considered exactly with this issue.</w:t>
      </w:r>
    </w:p>
    <w:p w:rsidR="00D72F46" w:rsidRDefault="00D72F46" w:rsidP="00FD3B3B">
      <w:pPr>
        <w:pStyle w:val="Odrky"/>
        <w:numPr>
          <w:ilvl w:val="0"/>
          <w:numId w:val="0"/>
        </w:numPr>
        <w:spacing w:line="24" w:lineRule="atLeast"/>
        <w:rPr>
          <w:lang w:val="en-US"/>
        </w:rPr>
      </w:pPr>
      <w:r>
        <w:rPr>
          <w:lang w:val="en-US"/>
        </w:rPr>
        <w:t>59.8% of the companies obtained an offer even from abroad. Although this rate is high the market share of electricity supplying companies from abroad is rather low because the costs of transport of electricity in Austria are very high. Another reason is that many   ele</w:t>
      </w:r>
      <w:r>
        <w:rPr>
          <w:lang w:val="en-US"/>
        </w:rPr>
        <w:t>c</w:t>
      </w:r>
      <w:r>
        <w:rPr>
          <w:lang w:val="en-US"/>
        </w:rPr>
        <w:t>tricity supplying companies from abroad have shares on Austrian companies and so they have no incentives to take part of this competition. As we can see in Figure 5 after the first phase of electricity market liberalization the price was falling. Many companies mentioned that the prices sunk. 28% of the companies said that they could decrease their electricity expenditures by 20-30%.</w:t>
      </w:r>
    </w:p>
    <w:p w:rsidR="00477A28" w:rsidRPr="00430969" w:rsidRDefault="00D72F46" w:rsidP="00FD3B3B">
      <w:pPr>
        <w:pStyle w:val="Odrky"/>
        <w:numPr>
          <w:ilvl w:val="0"/>
          <w:numId w:val="0"/>
        </w:numPr>
        <w:spacing w:line="24" w:lineRule="atLeast"/>
        <w:rPr>
          <w:lang w:val="en-US"/>
        </w:rPr>
      </w:pPr>
      <w:r>
        <w:rPr>
          <w:lang w:val="en-US"/>
        </w:rPr>
        <w:t>When the samples where asked about the reasons for the decrease of the electricity price, 78.7% traced this to the increase of competition. 50.5% also mentioned the strong trade position of their company. 3.2% said that the decrease of electricity expenditures is also reasoned by the strong support of the WKO, The Austrian Federal Economic Cha</w:t>
      </w:r>
      <w:r>
        <w:rPr>
          <w:lang w:val="en-US"/>
        </w:rPr>
        <w:t>m</w:t>
      </w:r>
      <w:r w:rsidR="00586ABB">
        <w:rPr>
          <w:lang w:val="en-US"/>
        </w:rPr>
        <w:t>ber.</w:t>
      </w:r>
      <w:r w:rsidR="00586ABB">
        <w:rPr>
          <w:rStyle w:val="Funotenzeichen"/>
          <w:lang w:val="en-US"/>
        </w:rPr>
        <w:footnoteReference w:id="23"/>
      </w:r>
      <w:bookmarkStart w:id="76" w:name="_Toc293390666"/>
    </w:p>
    <w:p w:rsidR="008A1F50" w:rsidRPr="0076734E" w:rsidRDefault="0076734E" w:rsidP="00FD3B3B">
      <w:pPr>
        <w:pStyle w:val="berschrift1"/>
        <w:jc w:val="both"/>
      </w:pPr>
      <w:bookmarkStart w:id="77" w:name="_Toc295272728"/>
      <w:r w:rsidRPr="0076734E">
        <w:t>6</w:t>
      </w:r>
      <w:r w:rsidR="008A1F50" w:rsidRPr="0076734E">
        <w:t>.</w:t>
      </w:r>
      <w:r w:rsidR="008A1F50" w:rsidRPr="0076734E">
        <w:tab/>
        <w:t>Conclusion</w:t>
      </w:r>
      <w:bookmarkEnd w:id="76"/>
      <w:bookmarkEnd w:id="77"/>
    </w:p>
    <w:p w:rsidR="00D72F46" w:rsidRDefault="00D72F46" w:rsidP="00FD3B3B">
      <w:pPr>
        <w:spacing w:line="24" w:lineRule="atLeast"/>
        <w:rPr>
          <w:lang w:val="en-US"/>
        </w:rPr>
      </w:pPr>
      <w:r>
        <w:rPr>
          <w:lang w:val="en-US"/>
        </w:rPr>
        <w:t>When we take in mind the development of the gas and the electricity price, huge diffe</w:t>
      </w:r>
      <w:r>
        <w:rPr>
          <w:lang w:val="en-US"/>
        </w:rPr>
        <w:t>r</w:t>
      </w:r>
      <w:r>
        <w:rPr>
          <w:lang w:val="en-US"/>
        </w:rPr>
        <w:t xml:space="preserve">ences can be seen. While the price of the electricity increased more flat and constant the price of gas has some huge amplitude in its curve. </w:t>
      </w:r>
    </w:p>
    <w:p w:rsidR="00D72F46" w:rsidRDefault="00D72F46" w:rsidP="00FD3B3B">
      <w:pPr>
        <w:spacing w:line="288" w:lineRule="auto"/>
        <w:rPr>
          <w:lang w:val="en-US"/>
        </w:rPr>
      </w:pPr>
      <w:r>
        <w:rPr>
          <w:lang w:val="en-US"/>
        </w:rPr>
        <w:t>The gas price even increased more than the electricity price over the years. One reason for this is that the price for gas reacts very strong on political crisis, especially when these are connected with Russia. It has been seen that short after the liberalization of the ele</w:t>
      </w:r>
      <w:r>
        <w:rPr>
          <w:lang w:val="en-US"/>
        </w:rPr>
        <w:t>c</w:t>
      </w:r>
      <w:r>
        <w:rPr>
          <w:lang w:val="en-US"/>
        </w:rPr>
        <w:t>tricity market customers had advantages which disappeared in the last years. The AEA pointed out that electricity and gas supplying companies have a huge information adva</w:t>
      </w:r>
      <w:r>
        <w:rPr>
          <w:lang w:val="en-US"/>
        </w:rPr>
        <w:t>n</w:t>
      </w:r>
      <w:r>
        <w:rPr>
          <w:lang w:val="en-US"/>
        </w:rPr>
        <w:t>tage which is even utilized by them. Here it is to mention that is the function of the contro</w:t>
      </w:r>
      <w:r>
        <w:rPr>
          <w:lang w:val="en-US"/>
        </w:rPr>
        <w:t>l</w:t>
      </w:r>
      <w:r>
        <w:rPr>
          <w:lang w:val="en-US"/>
        </w:rPr>
        <w:t xml:space="preserve">ling agency, in Austria E-Control, to minimize this advantage. So about one decade after the liberalization there are still monitoring problems. When we have a look on the price </w:t>
      </w:r>
      <w:r>
        <w:rPr>
          <w:lang w:val="en-US"/>
        </w:rPr>
        <w:lastRenderedPageBreak/>
        <w:t>development it seems that this producer advantage increases especially in the last years. The raise of the prices could not only reasoned by inflation. There is still the problem that larger companies could profit much more from the liberalization of the energy market b</w:t>
      </w:r>
      <w:r>
        <w:rPr>
          <w:lang w:val="en-US"/>
        </w:rPr>
        <w:t>e</w:t>
      </w:r>
      <w:r>
        <w:rPr>
          <w:lang w:val="en-US"/>
        </w:rPr>
        <w:t>cause they often have huge bargaining power, which households don’t have. So the price advantages of companies are often beard by the households, which indeed increases the competitiveness of European companies on the global market but on the other hand d</w:t>
      </w:r>
      <w:r>
        <w:rPr>
          <w:lang w:val="en-US"/>
        </w:rPr>
        <w:t>e</w:t>
      </w:r>
      <w:r>
        <w:rPr>
          <w:lang w:val="en-US"/>
        </w:rPr>
        <w:t xml:space="preserve">creases the bargaining power of the households.   </w:t>
      </w:r>
    </w:p>
    <w:p w:rsidR="00D72F46" w:rsidRDefault="00D72F46" w:rsidP="00FD3B3B">
      <w:pPr>
        <w:spacing w:line="24" w:lineRule="atLeast"/>
        <w:rPr>
          <w:lang w:val="en-US"/>
        </w:rPr>
      </w:pPr>
      <w:r>
        <w:rPr>
          <w:lang w:val="en-US"/>
        </w:rPr>
        <w:t xml:space="preserve">But is to mention that households have to compare the offers of the suppliers much more. As we have seen in the text companies could save a lot of money because of comparing and bargaining. But it is to mention that these huge saving rates were possible short after the liberalization where especially the electricity price was rather low. </w:t>
      </w:r>
    </w:p>
    <w:p w:rsidR="00D72F46" w:rsidRPr="00DC202E" w:rsidRDefault="00D72F46" w:rsidP="00FD3B3B">
      <w:pPr>
        <w:spacing w:line="24" w:lineRule="atLeast"/>
        <w:rPr>
          <w:rFonts w:cs="Arial"/>
          <w:b/>
          <w:lang w:val="en-US"/>
        </w:rPr>
      </w:pPr>
      <w:r>
        <w:rPr>
          <w:lang w:val="en-US"/>
        </w:rPr>
        <w:t>There could only be a fair competition for customers and suppliers when consumers would be more informed. On the one hand this is the task of E-Control and on the opp</w:t>
      </w:r>
      <w:r>
        <w:rPr>
          <w:lang w:val="en-US"/>
        </w:rPr>
        <w:t>o</w:t>
      </w:r>
      <w:r>
        <w:rPr>
          <w:lang w:val="en-US"/>
        </w:rPr>
        <w:t xml:space="preserve">site side customers have to do inform themselves more. </w:t>
      </w:r>
    </w:p>
    <w:p w:rsidR="00C562B0" w:rsidRPr="0076734E" w:rsidRDefault="0076734E" w:rsidP="00FD3B3B">
      <w:pPr>
        <w:pStyle w:val="berschrift1"/>
        <w:jc w:val="both"/>
      </w:pPr>
      <w:bookmarkStart w:id="78" w:name="_Toc293390667"/>
      <w:bookmarkStart w:id="79" w:name="_Toc295272729"/>
      <w:r w:rsidRPr="0076734E">
        <w:t>7.</w:t>
      </w:r>
      <w:r w:rsidRPr="0076734E">
        <w:tab/>
      </w:r>
      <w:r w:rsidR="00B17B6B" w:rsidRPr="0076734E">
        <w:t>Literature</w:t>
      </w:r>
      <w:bookmarkEnd w:id="78"/>
      <w:bookmarkEnd w:id="79"/>
    </w:p>
    <w:p w:rsidR="00624D45" w:rsidRDefault="00624D45" w:rsidP="00FD3B3B">
      <w:pPr>
        <w:spacing w:line="24" w:lineRule="atLeast"/>
      </w:pPr>
    </w:p>
    <w:p w:rsidR="00624D45" w:rsidRDefault="00624D45" w:rsidP="00FD3B3B">
      <w:pPr>
        <w:spacing w:line="24" w:lineRule="atLeast"/>
      </w:pPr>
    </w:p>
    <w:p w:rsidR="00D72F46" w:rsidRDefault="00D72F46" w:rsidP="00FD3B3B">
      <w:pPr>
        <w:spacing w:line="24" w:lineRule="atLeast"/>
      </w:pPr>
      <w:r>
        <w:t>ARBEITERKAMMER ÖSTERREICH (2010), ARBEITERKAMMER.AT, 2010.</w:t>
      </w:r>
      <w:r w:rsidRPr="00BF5025">
        <w:t xml:space="preserve"> </w:t>
      </w:r>
      <w:r>
        <w:t>&lt;</w:t>
      </w:r>
      <w:r w:rsidRPr="00BF5025">
        <w:t>http://www.arbeiterkammer.at/online/strom-und-gaspreise-stark-gestiegen-56790.html</w:t>
      </w:r>
      <w:r>
        <w:t>&gt;, Download on 24th of May 2011.</w:t>
      </w:r>
    </w:p>
    <w:p w:rsidR="00D31241" w:rsidRDefault="00D31241" w:rsidP="00FD3B3B">
      <w:pPr>
        <w:spacing w:line="24" w:lineRule="atLeast"/>
      </w:pPr>
    </w:p>
    <w:p w:rsidR="00D31241" w:rsidRDefault="00D31241" w:rsidP="00FD3B3B">
      <w:pPr>
        <w:spacing w:line="24" w:lineRule="atLeast"/>
        <w:rPr>
          <w:rFonts w:cs="Arial"/>
          <w:szCs w:val="22"/>
          <w:lang w:eastAsia="de-AT"/>
        </w:rPr>
      </w:pPr>
      <w:r>
        <w:t>CEPS (2011), CEPS.CZ, 2011. &lt;</w:t>
      </w:r>
      <w:r w:rsidRPr="00D31241">
        <w:rPr>
          <w:rFonts w:cs="Arial"/>
          <w:szCs w:val="22"/>
          <w:lang w:eastAsia="de-AT"/>
        </w:rPr>
        <w:t>www.ceps.cz</w:t>
      </w:r>
      <w:r>
        <w:rPr>
          <w:rFonts w:cs="Arial"/>
          <w:szCs w:val="22"/>
          <w:lang w:eastAsia="de-AT"/>
        </w:rPr>
        <w:t>&gt;, Downloaded on the 28</w:t>
      </w:r>
      <w:r w:rsidRPr="002612F5">
        <w:rPr>
          <w:rFonts w:cs="Arial"/>
          <w:szCs w:val="22"/>
          <w:lang w:eastAsia="de-AT"/>
        </w:rPr>
        <w:t xml:space="preserve">th of </w:t>
      </w:r>
      <w:r>
        <w:rPr>
          <w:rFonts w:cs="Arial"/>
          <w:szCs w:val="22"/>
          <w:lang w:eastAsia="de-AT"/>
        </w:rPr>
        <w:t>May</w:t>
      </w:r>
      <w:r w:rsidRPr="002612F5">
        <w:rPr>
          <w:rFonts w:cs="Arial"/>
          <w:szCs w:val="22"/>
          <w:lang w:eastAsia="de-AT"/>
        </w:rPr>
        <w:t xml:space="preserve"> 2011.</w:t>
      </w:r>
    </w:p>
    <w:p w:rsidR="00D31241" w:rsidRDefault="00D31241" w:rsidP="00FD3B3B">
      <w:pPr>
        <w:spacing w:line="24" w:lineRule="atLeast"/>
        <w:rPr>
          <w:rFonts w:cs="Arial"/>
          <w:szCs w:val="22"/>
          <w:lang w:eastAsia="de-AT"/>
        </w:rPr>
      </w:pPr>
    </w:p>
    <w:p w:rsidR="00D31241" w:rsidRPr="00D31241" w:rsidRDefault="00D31241" w:rsidP="00FD3B3B">
      <w:pPr>
        <w:spacing w:line="24" w:lineRule="atLeast"/>
        <w:rPr>
          <w:rFonts w:cs="Arial"/>
          <w:szCs w:val="22"/>
          <w:lang w:eastAsia="de-AT"/>
        </w:rPr>
      </w:pPr>
      <w:r>
        <w:rPr>
          <w:rFonts w:cs="Arial"/>
          <w:szCs w:val="22"/>
          <w:lang w:eastAsia="de-AT"/>
        </w:rPr>
        <w:t>Chemišinec I., M.Marvan, J.Nečesaný, T.Sýkora, J.Tůma: Obchod s elektřinou, 2010</w:t>
      </w:r>
    </w:p>
    <w:p w:rsidR="00D72F46" w:rsidRDefault="00D72F46" w:rsidP="00FD3B3B">
      <w:pPr>
        <w:spacing w:line="24" w:lineRule="atLeast"/>
      </w:pPr>
    </w:p>
    <w:p w:rsidR="00D72F46" w:rsidRDefault="00D72F46" w:rsidP="00FD3B3B">
      <w:pPr>
        <w:spacing w:line="24" w:lineRule="atLeast"/>
      </w:pPr>
      <w:r>
        <w:t>E-CONTROL (2011), E-CONTROL.AT, 2011. &lt;</w:t>
      </w:r>
      <w:r w:rsidRPr="00953F82">
        <w:rPr>
          <w:szCs w:val="22"/>
        </w:rPr>
        <w:t>http://www.e-control.at/de/statistik/gas/marktstatistik/preisentwicklung</w:t>
      </w:r>
      <w:r>
        <w:rPr>
          <w:szCs w:val="22"/>
        </w:rPr>
        <w:t xml:space="preserve">&gt;, </w:t>
      </w:r>
      <w:r>
        <w:t>Download on 28th of May 2011</w:t>
      </w:r>
    </w:p>
    <w:p w:rsidR="00D72F46" w:rsidRPr="00953F82" w:rsidRDefault="00D72F46" w:rsidP="00FD3B3B">
      <w:pPr>
        <w:spacing w:line="24" w:lineRule="atLeast"/>
        <w:rPr>
          <w:rFonts w:cs="Arial"/>
          <w:szCs w:val="22"/>
        </w:rPr>
      </w:pPr>
    </w:p>
    <w:p w:rsidR="00D72F46" w:rsidRDefault="00D72F46" w:rsidP="00FD3B3B">
      <w:pPr>
        <w:spacing w:line="24" w:lineRule="atLeast"/>
      </w:pPr>
      <w:r>
        <w:t>E-CONTROL (2011), E-CONTROL.AT, 2011. &lt;http://e-</w:t>
      </w:r>
      <w:r w:rsidRPr="00752DF5">
        <w:t>control.at/de/konsumenten/gas/der-gaspreis/preiszusammensetzung</w:t>
      </w:r>
    </w:p>
    <w:p w:rsidR="00D72F46" w:rsidRDefault="00D72F46" w:rsidP="00FD3B3B">
      <w:pPr>
        <w:spacing w:line="24" w:lineRule="atLeast"/>
      </w:pPr>
      <w:r>
        <w:rPr>
          <w:szCs w:val="22"/>
        </w:rPr>
        <w:t xml:space="preserve"> &gt;, </w:t>
      </w:r>
      <w:r>
        <w:t>Download on 28th of May 2011.</w:t>
      </w:r>
    </w:p>
    <w:p w:rsidR="00D72F46" w:rsidRPr="00953F82" w:rsidRDefault="00D72F46" w:rsidP="00FD3B3B">
      <w:pPr>
        <w:spacing w:line="24" w:lineRule="atLeast"/>
      </w:pPr>
    </w:p>
    <w:p w:rsidR="00D72F46" w:rsidRDefault="00D72F46" w:rsidP="00FD3B3B">
      <w:pPr>
        <w:spacing w:line="24" w:lineRule="atLeast"/>
      </w:pPr>
      <w:r>
        <w:t xml:space="preserve">E-CONTROL (2011), E-CONTROL.AT, 2011. </w:t>
      </w:r>
    </w:p>
    <w:p w:rsidR="00D72F46" w:rsidRDefault="00D72F46" w:rsidP="00FD3B3B">
      <w:pPr>
        <w:spacing w:line="24" w:lineRule="atLeast"/>
      </w:pPr>
      <w:r>
        <w:t>&lt;</w:t>
      </w:r>
      <w:r w:rsidRPr="00752DF5">
        <w:t>http://www.e-control.at/de/statistik/gas/marktstatistik/preisentwicklung</w:t>
      </w:r>
      <w:r>
        <w:rPr>
          <w:szCs w:val="22"/>
        </w:rPr>
        <w:t xml:space="preserve">&gt;, </w:t>
      </w:r>
      <w:r>
        <w:t>Download on 28th of May 2011.</w:t>
      </w:r>
    </w:p>
    <w:p w:rsidR="00D72F46" w:rsidRDefault="00D72F46" w:rsidP="00FD3B3B">
      <w:pPr>
        <w:spacing w:line="24" w:lineRule="atLeast"/>
      </w:pPr>
    </w:p>
    <w:p w:rsidR="00D72F46" w:rsidRDefault="00D72F46" w:rsidP="00FD3B3B">
      <w:pPr>
        <w:spacing w:line="24" w:lineRule="atLeast"/>
      </w:pPr>
      <w:r>
        <w:t xml:space="preserve">E-CONTROL (2011), E-CONTROL.AT, 2011. </w:t>
      </w:r>
    </w:p>
    <w:p w:rsidR="00D72F46" w:rsidRDefault="00D72F46" w:rsidP="00FD3B3B">
      <w:pPr>
        <w:spacing w:line="24" w:lineRule="atLeast"/>
      </w:pPr>
      <w:r>
        <w:t>&lt;</w:t>
      </w:r>
      <w:r w:rsidRPr="0045049E">
        <w:t>http://www.e-control.at/de/konsumenten/gas/der-gaspreis/gaspreis-monitor</w:t>
      </w:r>
      <w:r>
        <w:rPr>
          <w:szCs w:val="22"/>
        </w:rPr>
        <w:t xml:space="preserve">&gt;, </w:t>
      </w:r>
      <w:r>
        <w:t>Download on 28th of May 2011.</w:t>
      </w:r>
    </w:p>
    <w:p w:rsidR="00D72F46" w:rsidRDefault="00D72F46" w:rsidP="00FD3B3B">
      <w:pPr>
        <w:spacing w:line="24" w:lineRule="atLeast"/>
      </w:pPr>
    </w:p>
    <w:p w:rsidR="00D72F46" w:rsidRDefault="00D72F46" w:rsidP="00FD3B3B">
      <w:pPr>
        <w:spacing w:line="24" w:lineRule="atLeast"/>
      </w:pPr>
      <w:r>
        <w:t xml:space="preserve">E-CONTROL (2011), E-CONTROL.AT, 2011. </w:t>
      </w:r>
    </w:p>
    <w:p w:rsidR="00D72F46" w:rsidRDefault="00D72F46" w:rsidP="00FD3B3B">
      <w:pPr>
        <w:spacing w:line="24" w:lineRule="atLeast"/>
      </w:pPr>
      <w:r>
        <w:t>&lt;</w:t>
      </w:r>
      <w:r w:rsidRPr="006F3582">
        <w:t>http://www.e-control.at/de/statistik/strom/marktstatistik/preisentwicklung</w:t>
      </w:r>
      <w:r>
        <w:rPr>
          <w:szCs w:val="22"/>
        </w:rPr>
        <w:t xml:space="preserve">&gt;, </w:t>
      </w:r>
      <w:r>
        <w:t>Download on 28th of May 2011.</w:t>
      </w:r>
    </w:p>
    <w:p w:rsidR="00D72F46" w:rsidRDefault="00D72F46" w:rsidP="00FD3B3B">
      <w:pPr>
        <w:spacing w:line="24" w:lineRule="atLeast"/>
      </w:pPr>
    </w:p>
    <w:p w:rsidR="00D72F46" w:rsidRDefault="00D72F46" w:rsidP="00FD3B3B">
      <w:pPr>
        <w:spacing w:line="24" w:lineRule="atLeast"/>
      </w:pPr>
      <w:r>
        <w:t xml:space="preserve">E-CONTROL (2011), E-CONTROL.AT, 2011. </w:t>
      </w:r>
    </w:p>
    <w:p w:rsidR="00D72F46" w:rsidRDefault="00D72F46" w:rsidP="00FD3B3B">
      <w:pPr>
        <w:spacing w:line="24" w:lineRule="atLeast"/>
      </w:pPr>
      <w:r>
        <w:t>&lt;</w:t>
      </w:r>
      <w:r w:rsidRPr="006F3582">
        <w:t>http://www.e-control.at/de/statistik/strom/marktstatistik/preisentwicklung</w:t>
      </w:r>
      <w:r>
        <w:rPr>
          <w:szCs w:val="22"/>
        </w:rPr>
        <w:t xml:space="preserve">&gt;, </w:t>
      </w:r>
      <w:r>
        <w:t>Download on 28th of May 2011.</w:t>
      </w:r>
    </w:p>
    <w:p w:rsidR="00D31241" w:rsidRDefault="00D31241" w:rsidP="00FD3B3B">
      <w:pPr>
        <w:spacing w:line="24" w:lineRule="atLeast"/>
        <w:rPr>
          <w:rFonts w:cs="Arial"/>
          <w:szCs w:val="22"/>
          <w:lang w:eastAsia="de-AT"/>
        </w:rPr>
      </w:pPr>
      <w:r>
        <w:lastRenderedPageBreak/>
        <w:t>ERU (2011), ERU.CZ, 2011. &lt;</w:t>
      </w:r>
      <w:r w:rsidRPr="00D31241">
        <w:rPr>
          <w:rFonts w:cs="Arial"/>
          <w:szCs w:val="22"/>
          <w:lang w:eastAsia="de-AT"/>
        </w:rPr>
        <w:t>www.eru.cz</w:t>
      </w:r>
      <w:r>
        <w:rPr>
          <w:rFonts w:cs="Arial"/>
          <w:szCs w:val="22"/>
          <w:lang w:eastAsia="de-AT"/>
        </w:rPr>
        <w:t>&gt;, Downloaded on the 28</w:t>
      </w:r>
      <w:r w:rsidRPr="002612F5">
        <w:rPr>
          <w:rFonts w:cs="Arial"/>
          <w:szCs w:val="22"/>
          <w:lang w:eastAsia="de-AT"/>
        </w:rPr>
        <w:t xml:space="preserve">th of </w:t>
      </w:r>
      <w:r>
        <w:rPr>
          <w:rFonts w:cs="Arial"/>
          <w:szCs w:val="22"/>
          <w:lang w:eastAsia="de-AT"/>
        </w:rPr>
        <w:t>May</w:t>
      </w:r>
      <w:r w:rsidRPr="002612F5">
        <w:rPr>
          <w:rFonts w:cs="Arial"/>
          <w:szCs w:val="22"/>
          <w:lang w:eastAsia="de-AT"/>
        </w:rPr>
        <w:t xml:space="preserve"> 2011</w:t>
      </w:r>
    </w:p>
    <w:p w:rsidR="004F571E" w:rsidRDefault="004F571E" w:rsidP="00FD3B3B">
      <w:pPr>
        <w:spacing w:line="24" w:lineRule="atLeast"/>
        <w:rPr>
          <w:rFonts w:cs="Arial"/>
          <w:szCs w:val="22"/>
          <w:lang w:eastAsia="de-AT"/>
        </w:rPr>
      </w:pPr>
    </w:p>
    <w:p w:rsidR="004F571E" w:rsidRPr="004F571E" w:rsidRDefault="004F571E" w:rsidP="00FD3B3B">
      <w:pPr>
        <w:spacing w:line="24" w:lineRule="atLeast"/>
        <w:rPr>
          <w:rFonts w:cs="Arial"/>
          <w:bCs/>
        </w:rPr>
      </w:pPr>
      <w:r w:rsidRPr="004F571E">
        <w:rPr>
          <w:rStyle w:val="apple-style-span"/>
          <w:rFonts w:cs="Arial"/>
        </w:rPr>
        <w:t>EUROSTAT (2011), EPP.EUROSTAT.EC, 2011. &lt;ec.europa.eu/</w:t>
      </w:r>
      <w:r w:rsidRPr="004F571E">
        <w:rPr>
          <w:rStyle w:val="apple-style-span"/>
          <w:rFonts w:cs="Arial"/>
          <w:bCs/>
        </w:rPr>
        <w:t xml:space="preserve">eurostat&gt;, </w:t>
      </w:r>
      <w:r w:rsidRPr="004F571E">
        <w:rPr>
          <w:rFonts w:cs="Arial"/>
          <w:szCs w:val="22"/>
          <w:lang w:eastAsia="de-AT"/>
        </w:rPr>
        <w:t>Downloaded on the 29th of May 2011.</w:t>
      </w:r>
    </w:p>
    <w:p w:rsidR="00D72F46" w:rsidRDefault="00D72F46" w:rsidP="00FD3B3B">
      <w:pPr>
        <w:spacing w:line="24" w:lineRule="atLeast"/>
      </w:pPr>
    </w:p>
    <w:p w:rsidR="00D72F46" w:rsidRPr="002612F5" w:rsidRDefault="00D72F46" w:rsidP="00FD3B3B">
      <w:pPr>
        <w:spacing w:line="24" w:lineRule="atLeast"/>
        <w:rPr>
          <w:rFonts w:cs="Arial"/>
          <w:szCs w:val="22"/>
          <w:lang w:eastAsia="de-AT"/>
        </w:rPr>
      </w:pPr>
      <w:r w:rsidRPr="002612F5">
        <w:rPr>
          <w:rFonts w:cs="Arial"/>
          <w:szCs w:val="22"/>
          <w:lang w:val="en-GB" w:eastAsia="de-AT"/>
        </w:rPr>
        <w:t>INTERNATIONAL ENERGY AGANCY (IEA) (2011), IEA.ORG, 2011. &lt;</w:t>
      </w:r>
      <w:hyperlink r:id="rId29" w:history="1">
        <w:r w:rsidRPr="002612F5">
          <w:rPr>
            <w:rStyle w:val="Hyperlink"/>
            <w:rFonts w:cs="Arial"/>
            <w:color w:val="auto"/>
            <w:u w:val="none"/>
            <w:lang w:eastAsia="de-AT"/>
          </w:rPr>
          <w:t>http://www.iea.org/</w:t>
        </w:r>
      </w:hyperlink>
      <w:r w:rsidRPr="002612F5">
        <w:rPr>
          <w:rFonts w:cs="Arial"/>
          <w:szCs w:val="22"/>
          <w:lang w:eastAsia="de-AT"/>
        </w:rPr>
        <w:t>&gt;, Downloaded on the 26th of April 2011.</w:t>
      </w:r>
    </w:p>
    <w:p w:rsidR="00D72F46" w:rsidRDefault="00D72F46" w:rsidP="00FD3B3B">
      <w:pPr>
        <w:pStyle w:val="Odrky"/>
        <w:numPr>
          <w:ilvl w:val="0"/>
          <w:numId w:val="0"/>
        </w:numPr>
        <w:spacing w:line="24" w:lineRule="atLeast"/>
        <w:rPr>
          <w:rFonts w:cs="Arial"/>
          <w:szCs w:val="22"/>
        </w:rPr>
      </w:pPr>
    </w:p>
    <w:p w:rsidR="00D31241" w:rsidRDefault="00D31241" w:rsidP="00FD3B3B">
      <w:pPr>
        <w:pStyle w:val="Odrky"/>
        <w:numPr>
          <w:ilvl w:val="0"/>
          <w:numId w:val="0"/>
        </w:numPr>
        <w:spacing w:line="24" w:lineRule="atLeast"/>
        <w:rPr>
          <w:rFonts w:cs="Arial"/>
          <w:szCs w:val="22"/>
        </w:rPr>
      </w:pPr>
      <w:r>
        <w:t>Knápek J., R.Haas, J.Jílková: Energy for Sustainable Development II, 2010</w:t>
      </w:r>
    </w:p>
    <w:p w:rsidR="00D31241" w:rsidRDefault="00D31241" w:rsidP="00FD3B3B">
      <w:pPr>
        <w:pStyle w:val="Odrky"/>
        <w:numPr>
          <w:ilvl w:val="0"/>
          <w:numId w:val="0"/>
        </w:numPr>
        <w:spacing w:line="24" w:lineRule="atLeast"/>
        <w:rPr>
          <w:rFonts w:cs="Arial"/>
          <w:szCs w:val="22"/>
        </w:rPr>
      </w:pPr>
    </w:p>
    <w:p w:rsidR="00D72F46" w:rsidRPr="002612F5" w:rsidRDefault="00D72F46" w:rsidP="00FD3B3B">
      <w:pPr>
        <w:pStyle w:val="Odrky"/>
        <w:numPr>
          <w:ilvl w:val="0"/>
          <w:numId w:val="0"/>
        </w:numPr>
        <w:spacing w:line="24" w:lineRule="atLeast"/>
        <w:rPr>
          <w:rFonts w:cs="Arial"/>
          <w:szCs w:val="22"/>
          <w:lang w:val="de-AT"/>
        </w:rPr>
      </w:pPr>
      <w:r>
        <w:rPr>
          <w:rFonts w:cs="Arial"/>
          <w:szCs w:val="22"/>
          <w:lang w:val="de-AT"/>
        </w:rPr>
        <w:t xml:space="preserve">Mader S., </w:t>
      </w:r>
      <w:r w:rsidRPr="002612F5">
        <w:rPr>
          <w:rFonts w:cs="Arial"/>
          <w:szCs w:val="22"/>
          <w:lang w:val="de-AT"/>
        </w:rPr>
        <w:t>Schneider F. (2002), Erhebung einer empirischen Erhebung zum Thema Ene</w:t>
      </w:r>
      <w:r w:rsidRPr="002612F5">
        <w:rPr>
          <w:rFonts w:cs="Arial"/>
          <w:szCs w:val="22"/>
          <w:lang w:val="de-AT"/>
        </w:rPr>
        <w:t>r</w:t>
      </w:r>
      <w:r w:rsidRPr="002612F5">
        <w:rPr>
          <w:rFonts w:cs="Arial"/>
          <w:szCs w:val="22"/>
          <w:lang w:val="de-AT"/>
        </w:rPr>
        <w:t>giemarktliberalisierung in Österreich. Energie Institut der Johannes Kepler Universität Linz.</w:t>
      </w:r>
    </w:p>
    <w:p w:rsidR="00D72F46" w:rsidRPr="006B4E49" w:rsidRDefault="00D72F46" w:rsidP="00FD3B3B">
      <w:pPr>
        <w:pStyle w:val="Odrky"/>
        <w:numPr>
          <w:ilvl w:val="0"/>
          <w:numId w:val="0"/>
        </w:numPr>
        <w:spacing w:line="24" w:lineRule="atLeast"/>
        <w:rPr>
          <w:rFonts w:cs="Arial"/>
          <w:szCs w:val="22"/>
        </w:rPr>
      </w:pPr>
    </w:p>
    <w:p w:rsidR="00D72F46" w:rsidRDefault="00D72F46" w:rsidP="00FD3B3B">
      <w:pPr>
        <w:pStyle w:val="Textkrper"/>
        <w:spacing w:line="24" w:lineRule="atLeast"/>
        <w:jc w:val="both"/>
        <w:rPr>
          <w:sz w:val="22"/>
          <w:szCs w:val="22"/>
          <w:lang w:val="de-AT"/>
        </w:rPr>
      </w:pPr>
      <w:r w:rsidRPr="00953F82">
        <w:rPr>
          <w:sz w:val="22"/>
          <w:szCs w:val="22"/>
          <w:lang w:val="de-AT"/>
        </w:rPr>
        <w:t>Nemec, P., M. Brodey, H. Goldstein, K., A. P. Lütgendorf, S. Polster, R. Schanda, T. Schirmer, R. Schneider, N. Wiesinger, J. P. Willheim, G. Zeiler. Liberalisierung österre</w:t>
      </w:r>
      <w:r w:rsidRPr="00953F82">
        <w:rPr>
          <w:sz w:val="22"/>
          <w:szCs w:val="22"/>
          <w:lang w:val="de-AT"/>
        </w:rPr>
        <w:t>i</w:t>
      </w:r>
      <w:r w:rsidRPr="00953F82">
        <w:rPr>
          <w:sz w:val="22"/>
          <w:szCs w:val="22"/>
          <w:lang w:val="de-AT"/>
        </w:rPr>
        <w:t xml:space="preserve">chischer Infrastrukturmarkt. 2003. Vienna:LexisNexis ARD Orac. </w:t>
      </w:r>
    </w:p>
    <w:p w:rsidR="00D31241" w:rsidRDefault="00D31241" w:rsidP="00FD3B3B">
      <w:pPr>
        <w:pStyle w:val="Textkrper"/>
        <w:spacing w:line="24" w:lineRule="atLeast"/>
        <w:jc w:val="both"/>
        <w:rPr>
          <w:sz w:val="22"/>
          <w:szCs w:val="22"/>
          <w:lang w:val="de-AT"/>
        </w:rPr>
      </w:pPr>
    </w:p>
    <w:p w:rsidR="00D31241" w:rsidRDefault="00D31241" w:rsidP="00D31241">
      <w:pPr>
        <w:spacing w:line="24" w:lineRule="atLeast"/>
        <w:rPr>
          <w:rFonts w:cs="Arial"/>
          <w:szCs w:val="22"/>
          <w:lang w:eastAsia="de-AT"/>
        </w:rPr>
      </w:pPr>
      <w:r>
        <w:t>OTE CR (2011), OTE-CR.CZ, 2011. &lt;</w:t>
      </w:r>
      <w:r w:rsidRPr="00D31241">
        <w:rPr>
          <w:rFonts w:cs="Arial"/>
          <w:szCs w:val="22"/>
          <w:lang w:eastAsia="de-AT"/>
        </w:rPr>
        <w:t>www.ote-cr.cz</w:t>
      </w:r>
      <w:r>
        <w:rPr>
          <w:rFonts w:cs="Arial"/>
          <w:szCs w:val="22"/>
          <w:lang w:eastAsia="de-AT"/>
        </w:rPr>
        <w:t>&gt;, Downloaded on the 28</w:t>
      </w:r>
      <w:r w:rsidRPr="002612F5">
        <w:rPr>
          <w:rFonts w:cs="Arial"/>
          <w:szCs w:val="22"/>
          <w:lang w:eastAsia="de-AT"/>
        </w:rPr>
        <w:t xml:space="preserve">th of </w:t>
      </w:r>
      <w:r>
        <w:rPr>
          <w:rFonts w:cs="Arial"/>
          <w:szCs w:val="22"/>
          <w:lang w:eastAsia="de-AT"/>
        </w:rPr>
        <w:t>May</w:t>
      </w:r>
      <w:r w:rsidRPr="002612F5">
        <w:rPr>
          <w:rFonts w:cs="Arial"/>
          <w:szCs w:val="22"/>
          <w:lang w:eastAsia="de-AT"/>
        </w:rPr>
        <w:t xml:space="preserve"> 2011.</w:t>
      </w:r>
    </w:p>
    <w:p w:rsidR="00D72F46" w:rsidRPr="00D31241" w:rsidRDefault="00D72F46" w:rsidP="00FD3B3B">
      <w:pPr>
        <w:pStyle w:val="Odrky"/>
        <w:numPr>
          <w:ilvl w:val="0"/>
          <w:numId w:val="0"/>
        </w:numPr>
        <w:spacing w:line="24" w:lineRule="atLeast"/>
        <w:rPr>
          <w:rFonts w:cs="Arial"/>
          <w:szCs w:val="22"/>
          <w:lang w:val="en-GB"/>
        </w:rPr>
      </w:pPr>
    </w:p>
    <w:p w:rsidR="00D72F46" w:rsidRPr="00953F82" w:rsidRDefault="00D72F46" w:rsidP="00FD3B3B">
      <w:pPr>
        <w:pStyle w:val="Odrky"/>
        <w:numPr>
          <w:ilvl w:val="0"/>
          <w:numId w:val="0"/>
        </w:numPr>
        <w:spacing w:line="24" w:lineRule="atLeast"/>
        <w:rPr>
          <w:rFonts w:eastAsia="Arial Unicode MS" w:cs="Arial"/>
          <w:szCs w:val="22"/>
        </w:rPr>
      </w:pPr>
      <w:r w:rsidRPr="002612F5">
        <w:rPr>
          <w:rFonts w:cs="Arial"/>
          <w:szCs w:val="22"/>
          <w:lang w:val="de-AT"/>
        </w:rPr>
        <w:t>Schneider R. (2000), Analyse des österreichischen Energiemarktes: eine empirische U</w:t>
      </w:r>
      <w:r w:rsidRPr="002612F5">
        <w:rPr>
          <w:rFonts w:cs="Arial"/>
          <w:szCs w:val="22"/>
          <w:lang w:val="de-AT"/>
        </w:rPr>
        <w:t>n</w:t>
      </w:r>
      <w:r w:rsidRPr="002612F5">
        <w:rPr>
          <w:rFonts w:cs="Arial"/>
          <w:szCs w:val="22"/>
          <w:lang w:val="de-AT"/>
        </w:rPr>
        <w:t xml:space="preserve">tersuchung über die Auswirkungen der Liberalisierung. </w:t>
      </w:r>
      <w:r w:rsidRPr="002612F5">
        <w:rPr>
          <w:rFonts w:eastAsia="Arial Unicode MS" w:cs="Arial"/>
          <w:szCs w:val="22"/>
        </w:rPr>
        <w:t>Graz, Karl-Franzens-Univ., Dipl.-Arbeit, Graz.</w:t>
      </w:r>
    </w:p>
    <w:p w:rsidR="00D72F46" w:rsidRPr="00953F82" w:rsidRDefault="00D72F46" w:rsidP="00FD3B3B">
      <w:pPr>
        <w:spacing w:line="24" w:lineRule="atLeast"/>
        <w:rPr>
          <w:rFonts w:cs="Arial"/>
          <w:szCs w:val="22"/>
          <w:lang w:val="de-AT" w:eastAsia="de-AT"/>
        </w:rPr>
      </w:pPr>
    </w:p>
    <w:p w:rsidR="00D72F46" w:rsidRPr="002612F5" w:rsidRDefault="00D72F46" w:rsidP="00FD3B3B">
      <w:pPr>
        <w:spacing w:line="24" w:lineRule="atLeast"/>
        <w:rPr>
          <w:rFonts w:cs="Arial"/>
          <w:szCs w:val="22"/>
          <w:lang w:val="en-GB" w:eastAsia="de-AT"/>
        </w:rPr>
      </w:pPr>
      <w:r w:rsidRPr="00D72F46">
        <w:rPr>
          <w:rFonts w:cs="Arial"/>
          <w:szCs w:val="22"/>
          <w:lang w:val="de-AT" w:eastAsia="de-AT"/>
        </w:rPr>
        <w:t xml:space="preserve">STATISTIK AUSTRIA (2011), STATISTIK.AT, 2011. </w:t>
      </w:r>
      <w:r w:rsidRPr="002612F5">
        <w:rPr>
          <w:rFonts w:cs="Arial"/>
          <w:szCs w:val="22"/>
          <w:lang w:val="en-GB" w:eastAsia="de-AT"/>
        </w:rPr>
        <w:t>&lt;</w:t>
      </w:r>
      <w:hyperlink r:id="rId30" w:history="1">
        <w:r w:rsidRPr="002612F5">
          <w:rPr>
            <w:rStyle w:val="Hyperlink"/>
            <w:rFonts w:cs="Arial"/>
            <w:color w:val="auto"/>
            <w:u w:val="none"/>
            <w:lang w:val="en-GB" w:eastAsia="de-AT"/>
          </w:rPr>
          <w:t>http://www.statistik.at/</w:t>
        </w:r>
      </w:hyperlink>
      <w:r w:rsidRPr="002612F5">
        <w:rPr>
          <w:rFonts w:cs="Arial"/>
          <w:szCs w:val="22"/>
          <w:lang w:val="en-GB" w:eastAsia="de-AT"/>
        </w:rPr>
        <w:t>&gt;, Downloaded on the 26th of April 2011.</w:t>
      </w:r>
    </w:p>
    <w:p w:rsidR="00D72F46" w:rsidRPr="002612F5" w:rsidRDefault="00D72F46" w:rsidP="00FD3B3B">
      <w:pPr>
        <w:spacing w:line="24" w:lineRule="atLeast"/>
        <w:rPr>
          <w:rFonts w:cs="Arial"/>
          <w:szCs w:val="22"/>
          <w:lang w:val="en-GB" w:eastAsia="de-AT"/>
        </w:rPr>
      </w:pPr>
    </w:p>
    <w:p w:rsidR="00D72F46" w:rsidRDefault="00D72F46" w:rsidP="00FD3B3B">
      <w:pPr>
        <w:spacing w:line="24" w:lineRule="atLeast"/>
        <w:rPr>
          <w:rFonts w:cs="Arial"/>
          <w:szCs w:val="22"/>
          <w:lang w:eastAsia="de-AT"/>
        </w:rPr>
      </w:pPr>
      <w:r w:rsidRPr="002612F5">
        <w:rPr>
          <w:rFonts w:cs="Arial"/>
          <w:szCs w:val="22"/>
          <w:lang w:eastAsia="de-AT"/>
        </w:rPr>
        <w:t>WIRTSCHAFTSKAMMER ÖSTERREICH (2011), WKO.AT, 2011, Stromanbieter in Österreich. 2011. &lt;</w:t>
      </w:r>
      <w:hyperlink r:id="rId31" w:history="1">
        <w:r w:rsidRPr="002612F5">
          <w:rPr>
            <w:rStyle w:val="Hyperlink"/>
            <w:rFonts w:cs="Arial"/>
            <w:color w:val="auto"/>
            <w:u w:val="none"/>
            <w:lang w:val="cs-CZ" w:eastAsia="de-AT"/>
          </w:rPr>
          <w:t>http://portal.wko.at/wk/format_detail.wk?AngID=1&amp;StID=276184</w:t>
        </w:r>
      </w:hyperlink>
      <w:r w:rsidRPr="002612F5">
        <w:rPr>
          <w:rFonts w:cs="Arial"/>
          <w:szCs w:val="22"/>
          <w:lang w:eastAsia="de-AT"/>
        </w:rPr>
        <w:t>&gt;, Downloaded on the 26th of April 2011.</w:t>
      </w:r>
    </w:p>
    <w:p w:rsidR="00C024A4" w:rsidRDefault="00C024A4" w:rsidP="00FD3B3B">
      <w:pPr>
        <w:spacing w:line="24" w:lineRule="atLeast"/>
        <w:rPr>
          <w:rFonts w:cs="Arial"/>
          <w:szCs w:val="22"/>
          <w:lang w:eastAsia="de-AT"/>
        </w:rPr>
      </w:pPr>
    </w:p>
    <w:p w:rsidR="006243BE" w:rsidRPr="00563665" w:rsidRDefault="00A57383" w:rsidP="00FD3B3B">
      <w:pPr>
        <w:spacing w:line="24" w:lineRule="atLeast"/>
        <w:rPr>
          <w:rStyle w:val="Hyperlink"/>
          <w:color w:val="auto"/>
          <w:u w:val="none"/>
          <w:lang w:val="cs-CZ" w:eastAsia="de-AT"/>
        </w:rPr>
      </w:pPr>
      <w:hyperlink r:id="rId32" w:history="1">
        <w:r w:rsidR="006243BE" w:rsidRPr="00563665">
          <w:rPr>
            <w:rStyle w:val="Hyperlink"/>
            <w:rFonts w:cs="Arial"/>
            <w:color w:val="auto"/>
            <w:u w:val="none"/>
            <w:lang w:val="cs-CZ" w:eastAsia="de-AT"/>
          </w:rPr>
          <w:t>M. MRAVEC, Understanding the Failure (so far) of the Liberalization of the Czech Mar</w:t>
        </w:r>
        <w:r w:rsidR="00563665" w:rsidRPr="00563665">
          <w:rPr>
            <w:rStyle w:val="Hyperlink"/>
            <w:rFonts w:cs="Arial"/>
            <w:color w:val="auto"/>
            <w:u w:val="none"/>
            <w:lang w:val="cs-CZ" w:eastAsia="de-AT"/>
          </w:rPr>
          <w:t>ket in Natural Gas: some models</w:t>
        </w:r>
      </w:hyperlink>
    </w:p>
    <w:p w:rsidR="006243BE" w:rsidRDefault="006243BE" w:rsidP="00FD3B3B">
      <w:pPr>
        <w:spacing w:line="24" w:lineRule="atLeast"/>
        <w:rPr>
          <w:rFonts w:cs="Arial"/>
          <w:szCs w:val="22"/>
          <w:lang w:eastAsia="de-AT"/>
        </w:rPr>
      </w:pPr>
    </w:p>
    <w:p w:rsidR="00624D45" w:rsidRDefault="00624D45" w:rsidP="00FD3B3B">
      <w:pPr>
        <w:spacing w:line="24" w:lineRule="atLeast"/>
        <w:rPr>
          <w:rFonts w:cs="Arial"/>
          <w:szCs w:val="22"/>
          <w:lang w:eastAsia="de-AT"/>
        </w:rPr>
      </w:pPr>
    </w:p>
    <w:p w:rsidR="00624D45" w:rsidRDefault="00624D45" w:rsidP="00FD3B3B">
      <w:pPr>
        <w:spacing w:line="24" w:lineRule="atLeast"/>
        <w:rPr>
          <w:rFonts w:cs="Arial"/>
          <w:szCs w:val="22"/>
          <w:lang w:eastAsia="de-AT"/>
        </w:rPr>
      </w:pPr>
    </w:p>
    <w:p w:rsidR="00D31241" w:rsidRDefault="00D31241" w:rsidP="00D31241">
      <w:pPr>
        <w:spacing w:line="24" w:lineRule="atLeast"/>
        <w:rPr>
          <w:rFonts w:cs="Arial"/>
          <w:szCs w:val="22"/>
          <w:lang w:eastAsia="de-AT"/>
        </w:rPr>
      </w:pPr>
    </w:p>
    <w:p w:rsidR="00C024A4" w:rsidRDefault="00C024A4" w:rsidP="00FD3B3B">
      <w:pPr>
        <w:spacing w:line="24" w:lineRule="atLeast"/>
        <w:rPr>
          <w:rFonts w:cs="Arial"/>
          <w:szCs w:val="22"/>
          <w:lang w:eastAsia="de-AT"/>
        </w:rPr>
      </w:pPr>
    </w:p>
    <w:p w:rsidR="00624D45" w:rsidRDefault="00624D45" w:rsidP="00FD3B3B">
      <w:pPr>
        <w:spacing w:line="24" w:lineRule="atLeast"/>
        <w:rPr>
          <w:rFonts w:cs="Arial"/>
          <w:szCs w:val="22"/>
          <w:lang w:eastAsia="de-AT"/>
        </w:rPr>
      </w:pPr>
    </w:p>
    <w:p w:rsidR="0061773F" w:rsidRDefault="0061773F" w:rsidP="00FD3B3B">
      <w:pPr>
        <w:spacing w:line="24" w:lineRule="atLeast"/>
        <w:rPr>
          <w:rFonts w:cs="Arial"/>
          <w:szCs w:val="22"/>
          <w:lang w:eastAsia="de-AT"/>
        </w:rPr>
      </w:pPr>
    </w:p>
    <w:p w:rsidR="00624D45" w:rsidRDefault="00624D45" w:rsidP="00FD3B3B">
      <w:pPr>
        <w:spacing w:line="24" w:lineRule="atLeast"/>
        <w:rPr>
          <w:rFonts w:cs="Arial"/>
          <w:szCs w:val="22"/>
          <w:lang w:eastAsia="de-AT"/>
        </w:rPr>
      </w:pPr>
    </w:p>
    <w:p w:rsidR="004F571E" w:rsidRDefault="004F571E" w:rsidP="00FD3B3B">
      <w:pPr>
        <w:spacing w:line="24" w:lineRule="atLeast"/>
        <w:rPr>
          <w:rStyle w:val="apple-style-span"/>
          <w:rFonts w:cs="Arial"/>
          <w:color w:val="0E774A"/>
        </w:rPr>
      </w:pPr>
    </w:p>
    <w:p w:rsidR="00624D45" w:rsidRDefault="00624D45" w:rsidP="00FD3B3B">
      <w:pPr>
        <w:spacing w:line="24" w:lineRule="atLeast"/>
      </w:pPr>
    </w:p>
    <w:p w:rsidR="00852060" w:rsidRPr="00D72F46" w:rsidRDefault="00852060" w:rsidP="00FD3B3B">
      <w:pPr>
        <w:spacing w:line="24" w:lineRule="atLeast"/>
      </w:pPr>
    </w:p>
    <w:sectPr w:rsidR="00852060" w:rsidRPr="00D72F46" w:rsidSect="002450EB">
      <w:headerReference w:type="default" r:id="rId33"/>
      <w:headerReference w:type="first" r:id="rId34"/>
      <w:footerReference w:type="first" r:id="rId35"/>
      <w:pgSz w:w="11906" w:h="16838" w:code="9"/>
      <w:pgMar w:top="1418" w:right="1134" w:bottom="1418"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4992" w:rsidRDefault="00A44992">
      <w:r>
        <w:separator/>
      </w:r>
    </w:p>
  </w:endnote>
  <w:endnote w:type="continuationSeparator" w:id="1">
    <w:p w:rsidR="00A44992" w:rsidRDefault="00A4499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060" w:rsidRPr="003637B0" w:rsidRDefault="00852060" w:rsidP="003637B0">
    <w:pPr>
      <w:pStyle w:val="Fuzeile"/>
      <w:rPr>
        <w:rFonts w:ascii="Franklin Gothic Demi" w:hAnsi="Franklin Gothic Demi"/>
      </w:rPr>
    </w:pPr>
    <w:r>
      <w:tab/>
    </w:r>
    <w:r>
      <w:tab/>
    </w:r>
    <w:r w:rsidR="00A57383" w:rsidRPr="003637B0">
      <w:rPr>
        <w:rStyle w:val="Seitenzahl"/>
      </w:rPr>
      <w:fldChar w:fldCharType="begin"/>
    </w:r>
    <w:r w:rsidRPr="003637B0">
      <w:rPr>
        <w:rStyle w:val="Seitenzahl"/>
      </w:rPr>
      <w:instrText xml:space="preserve"> PAGE </w:instrText>
    </w:r>
    <w:r w:rsidR="00A57383" w:rsidRPr="003637B0">
      <w:rPr>
        <w:rStyle w:val="Seitenzahl"/>
      </w:rPr>
      <w:fldChar w:fldCharType="separate"/>
    </w:r>
    <w:r w:rsidR="0037634B">
      <w:rPr>
        <w:rStyle w:val="Seitenzahl"/>
        <w:noProof/>
      </w:rPr>
      <w:t>17</w:t>
    </w:r>
    <w:r w:rsidR="00A57383" w:rsidRPr="003637B0">
      <w:rPr>
        <w:rStyle w:val="Seitenzahl"/>
      </w:rPr>
      <w:fldChar w:fldCharType="end"/>
    </w:r>
    <w:r w:rsidRPr="003637B0">
      <w:rPr>
        <w:rStyle w:val="Seitenzahl"/>
      </w:rPr>
      <w:t>/</w:t>
    </w:r>
    <w:r w:rsidR="00A57383" w:rsidRPr="003637B0">
      <w:rPr>
        <w:rStyle w:val="Seitenzahl"/>
      </w:rPr>
      <w:fldChar w:fldCharType="begin"/>
    </w:r>
    <w:r w:rsidRPr="003637B0">
      <w:rPr>
        <w:rStyle w:val="Seitenzahl"/>
      </w:rPr>
      <w:instrText xml:space="preserve"> NUMPAGES </w:instrText>
    </w:r>
    <w:r w:rsidR="00A57383" w:rsidRPr="003637B0">
      <w:rPr>
        <w:rStyle w:val="Seitenzahl"/>
      </w:rPr>
      <w:fldChar w:fldCharType="separate"/>
    </w:r>
    <w:r w:rsidR="0037634B">
      <w:rPr>
        <w:rStyle w:val="Seitenzahl"/>
        <w:noProof/>
      </w:rPr>
      <w:t>17</w:t>
    </w:r>
    <w:r w:rsidR="00A57383" w:rsidRPr="003637B0">
      <w:rPr>
        <w:rStyle w:val="Seitenzahl"/>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060" w:rsidRPr="003637B0" w:rsidRDefault="00852060" w:rsidP="003637B0">
    <w:pPr>
      <w:pStyle w:val="Fuzeile"/>
      <w:rPr>
        <w:rFonts w:ascii="Franklin Gothic Demi" w:hAnsi="Franklin Gothic Demi"/>
      </w:rPr>
    </w:pPr>
    <w:r>
      <w:tab/>
    </w:r>
    <w:r>
      <w:tab/>
    </w:r>
    <w:r w:rsidR="00A57383" w:rsidRPr="003637B0">
      <w:rPr>
        <w:rStyle w:val="Seitenzahl"/>
      </w:rPr>
      <w:fldChar w:fldCharType="begin"/>
    </w:r>
    <w:r w:rsidRPr="003637B0">
      <w:rPr>
        <w:rStyle w:val="Seitenzahl"/>
      </w:rPr>
      <w:instrText xml:space="preserve"> PAGE </w:instrText>
    </w:r>
    <w:r w:rsidR="00A57383" w:rsidRPr="003637B0">
      <w:rPr>
        <w:rStyle w:val="Seitenzahl"/>
      </w:rPr>
      <w:fldChar w:fldCharType="separate"/>
    </w:r>
    <w:r w:rsidR="003A2FE5">
      <w:rPr>
        <w:rStyle w:val="Seitenzahl"/>
        <w:noProof/>
      </w:rPr>
      <w:t>3</w:t>
    </w:r>
    <w:r w:rsidR="00A57383" w:rsidRPr="003637B0">
      <w:rPr>
        <w:rStyle w:val="Seitenzahl"/>
      </w:rPr>
      <w:fldChar w:fldCharType="end"/>
    </w:r>
    <w:r w:rsidRPr="003637B0">
      <w:rPr>
        <w:rStyle w:val="Seitenzahl"/>
      </w:rPr>
      <w:t>/</w:t>
    </w:r>
    <w:r w:rsidR="00A57383" w:rsidRPr="003637B0">
      <w:rPr>
        <w:rStyle w:val="Seitenzahl"/>
      </w:rPr>
      <w:fldChar w:fldCharType="begin"/>
    </w:r>
    <w:r w:rsidRPr="003637B0">
      <w:rPr>
        <w:rStyle w:val="Seitenzahl"/>
      </w:rPr>
      <w:instrText xml:space="preserve"> NUMPAGES </w:instrText>
    </w:r>
    <w:r w:rsidR="00A57383" w:rsidRPr="003637B0">
      <w:rPr>
        <w:rStyle w:val="Seitenzahl"/>
      </w:rPr>
      <w:fldChar w:fldCharType="separate"/>
    </w:r>
    <w:r w:rsidR="003A2FE5">
      <w:rPr>
        <w:rStyle w:val="Seitenzahl"/>
        <w:noProof/>
      </w:rPr>
      <w:t>17</w:t>
    </w:r>
    <w:r w:rsidR="00A57383" w:rsidRPr="003637B0">
      <w:rPr>
        <w:rStyle w:val="Seitenzah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4992" w:rsidRDefault="00A44992">
      <w:r>
        <w:separator/>
      </w:r>
    </w:p>
  </w:footnote>
  <w:footnote w:type="continuationSeparator" w:id="1">
    <w:p w:rsidR="00A44992" w:rsidRDefault="00A44992">
      <w:r>
        <w:continuationSeparator/>
      </w:r>
    </w:p>
  </w:footnote>
  <w:footnote w:id="2">
    <w:p w:rsidR="00852060" w:rsidRPr="00D31241" w:rsidRDefault="00852060" w:rsidP="00F36AC1">
      <w:pPr>
        <w:keepNext/>
        <w:tabs>
          <w:tab w:val="left" w:pos="680"/>
        </w:tabs>
        <w:suppressAutoHyphens/>
        <w:spacing w:before="240" w:line="24" w:lineRule="atLeast"/>
        <w:outlineLvl w:val="2"/>
        <w:rPr>
          <w:rFonts w:cs="Arial"/>
          <w:sz w:val="18"/>
          <w:lang w:val="de-AT"/>
        </w:rPr>
      </w:pPr>
      <w:r w:rsidRPr="00F36AC1">
        <w:rPr>
          <w:rStyle w:val="Funotenzeichen"/>
          <w:sz w:val="18"/>
        </w:rPr>
        <w:footnoteRef/>
      </w:r>
      <w:r w:rsidRPr="00F36AC1">
        <w:rPr>
          <w:sz w:val="18"/>
        </w:rPr>
        <w:t xml:space="preserve"> </w:t>
      </w:r>
      <w:r w:rsidRPr="00D31241">
        <w:rPr>
          <w:rFonts w:cs="Arial"/>
          <w:sz w:val="18"/>
          <w:lang w:val="de-AT"/>
        </w:rPr>
        <w:t xml:space="preserve"> Brodey, 2003, 42-43</w:t>
      </w:r>
    </w:p>
  </w:footnote>
  <w:footnote w:id="3">
    <w:p w:rsidR="00852060" w:rsidRPr="00F36AC1" w:rsidRDefault="00852060">
      <w:pPr>
        <w:pStyle w:val="Funotentext"/>
        <w:rPr>
          <w:lang w:val="cs-CZ"/>
        </w:rPr>
      </w:pPr>
      <w:r w:rsidRPr="00F36AC1">
        <w:rPr>
          <w:rStyle w:val="Funotenzeichen"/>
        </w:rPr>
        <w:footnoteRef/>
      </w:r>
      <w:r w:rsidRPr="00F36AC1">
        <w:t xml:space="preserve"> </w:t>
      </w:r>
      <w:r w:rsidRPr="00D31241">
        <w:rPr>
          <w:rFonts w:cs="Arial"/>
          <w:lang w:val="de-AT"/>
        </w:rPr>
        <w:t xml:space="preserve"> Schneider, 2000, 25-30</w:t>
      </w:r>
    </w:p>
  </w:footnote>
  <w:footnote w:id="4">
    <w:p w:rsidR="00852060" w:rsidRPr="00F36AC1" w:rsidRDefault="00852060">
      <w:pPr>
        <w:pStyle w:val="Funotentext"/>
        <w:rPr>
          <w:lang w:val="cs-CZ"/>
        </w:rPr>
      </w:pPr>
      <w:r>
        <w:rPr>
          <w:rStyle w:val="Funotenzeichen"/>
        </w:rPr>
        <w:footnoteRef/>
      </w:r>
      <w:r>
        <w:t xml:space="preserve"> </w:t>
      </w:r>
      <w:r w:rsidRPr="00D31241">
        <w:rPr>
          <w:rFonts w:cs="Arial"/>
          <w:lang w:val="de-AT"/>
        </w:rPr>
        <w:t>Schneider, 2000, 28</w:t>
      </w:r>
    </w:p>
  </w:footnote>
  <w:footnote w:id="5">
    <w:p w:rsidR="00852060" w:rsidRPr="00F36AC1" w:rsidRDefault="00852060">
      <w:pPr>
        <w:pStyle w:val="Funotentext"/>
        <w:rPr>
          <w:lang w:val="cs-CZ"/>
        </w:rPr>
      </w:pPr>
      <w:r>
        <w:rPr>
          <w:rStyle w:val="Funotenzeichen"/>
        </w:rPr>
        <w:footnoteRef/>
      </w:r>
      <w:r>
        <w:t xml:space="preserve"> </w:t>
      </w:r>
      <w:r w:rsidRPr="00D31241">
        <w:rPr>
          <w:rFonts w:cs="Arial"/>
          <w:lang w:val="de-AT"/>
        </w:rPr>
        <w:t>Brodey, 2003, 43-44</w:t>
      </w:r>
    </w:p>
  </w:footnote>
  <w:footnote w:id="6">
    <w:p w:rsidR="00852060" w:rsidRPr="00D31241" w:rsidRDefault="00852060">
      <w:pPr>
        <w:pStyle w:val="Funotentext"/>
        <w:rPr>
          <w:rFonts w:cs="Arial"/>
          <w:lang w:val="de-AT"/>
        </w:rPr>
      </w:pPr>
      <w:r w:rsidRPr="00F36AC1">
        <w:rPr>
          <w:rStyle w:val="Funotenzeichen"/>
        </w:rPr>
        <w:footnoteRef/>
      </w:r>
      <w:r w:rsidRPr="00F36AC1">
        <w:t xml:space="preserve"> </w:t>
      </w:r>
      <w:r w:rsidRPr="00D31241">
        <w:rPr>
          <w:rFonts w:cs="Arial"/>
          <w:lang w:val="de-AT"/>
        </w:rPr>
        <w:t>Schneider, 2000, 39 und Art. 19(3) Directive 96/92/EC</w:t>
      </w:r>
    </w:p>
  </w:footnote>
  <w:footnote w:id="7">
    <w:p w:rsidR="00852060" w:rsidRPr="00F36AC1" w:rsidRDefault="00852060">
      <w:pPr>
        <w:pStyle w:val="Funotentext"/>
        <w:rPr>
          <w:lang w:val="cs-CZ"/>
        </w:rPr>
      </w:pPr>
      <w:r>
        <w:rPr>
          <w:rStyle w:val="Funotenzeichen"/>
        </w:rPr>
        <w:footnoteRef/>
      </w:r>
      <w:r>
        <w:t xml:space="preserve"> </w:t>
      </w:r>
      <w:r w:rsidRPr="00D31241">
        <w:rPr>
          <w:rFonts w:cs="Arial"/>
          <w:lang w:val="de-AT"/>
        </w:rPr>
        <w:t>Schneider, 2000, 40</w:t>
      </w:r>
    </w:p>
  </w:footnote>
  <w:footnote w:id="8">
    <w:p w:rsidR="00852060" w:rsidRPr="00F36AC1" w:rsidRDefault="00852060">
      <w:pPr>
        <w:pStyle w:val="Funotentext"/>
        <w:rPr>
          <w:lang w:val="cs-CZ"/>
        </w:rPr>
      </w:pPr>
      <w:r>
        <w:rPr>
          <w:rStyle w:val="Funotenzeichen"/>
        </w:rPr>
        <w:footnoteRef/>
      </w:r>
      <w:r>
        <w:t xml:space="preserve"> </w:t>
      </w:r>
      <w:r w:rsidRPr="00F36AC1">
        <w:rPr>
          <w:rFonts w:cs="Arial"/>
          <w:lang w:val="en-GB"/>
        </w:rPr>
        <w:t>Brodey, 2003, 42-50</w:t>
      </w:r>
    </w:p>
  </w:footnote>
  <w:footnote w:id="9">
    <w:p w:rsidR="00852060" w:rsidRPr="00F36AC1" w:rsidRDefault="00852060">
      <w:pPr>
        <w:pStyle w:val="Funotentext"/>
        <w:rPr>
          <w:rFonts w:cs="Arial"/>
          <w:lang w:val="en-GB"/>
        </w:rPr>
      </w:pPr>
      <w:r>
        <w:rPr>
          <w:rStyle w:val="Funotenzeichen"/>
        </w:rPr>
        <w:footnoteRef/>
      </w:r>
      <w:r>
        <w:t xml:space="preserve"> </w:t>
      </w:r>
      <w:r w:rsidRPr="00F36AC1">
        <w:rPr>
          <w:rFonts w:cs="Arial"/>
          <w:lang w:val="en-GB"/>
        </w:rPr>
        <w:t>Brodey, 2003, 49</w:t>
      </w:r>
    </w:p>
  </w:footnote>
  <w:footnote w:id="10">
    <w:p w:rsidR="00852060" w:rsidRPr="00F36AC1" w:rsidRDefault="00852060" w:rsidP="00F36AC1">
      <w:pPr>
        <w:pStyle w:val="Funotentext"/>
        <w:rPr>
          <w:rFonts w:cs="Arial"/>
          <w:lang w:val="en-GB"/>
        </w:rPr>
      </w:pPr>
      <w:r w:rsidRPr="00F36AC1">
        <w:rPr>
          <w:rFonts w:cs="Arial"/>
          <w:lang w:val="en-GB"/>
        </w:rPr>
        <w:footnoteRef/>
      </w:r>
      <w:r w:rsidRPr="00F36AC1">
        <w:rPr>
          <w:rFonts w:cs="Arial"/>
          <w:lang w:val="en-GB"/>
        </w:rPr>
        <w:t xml:space="preserve">  Brodey, 2003, 49-50</w:t>
      </w:r>
    </w:p>
    <w:p w:rsidR="00852060" w:rsidRPr="006779EF" w:rsidRDefault="00852060" w:rsidP="006779EF">
      <w:pPr>
        <w:ind w:left="4254" w:firstLine="709"/>
        <w:jc w:val="center"/>
        <w:rPr>
          <w:rFonts w:cs="Arial"/>
          <w:bCs/>
          <w:i/>
          <w:sz w:val="18"/>
          <w:szCs w:val="22"/>
        </w:rPr>
      </w:pPr>
      <w:r w:rsidRPr="006779EF">
        <w:rPr>
          <w:rFonts w:cs="Arial"/>
          <w:bCs/>
          <w:i/>
          <w:sz w:val="18"/>
          <w:szCs w:val="22"/>
        </w:rPr>
        <w:t>Fig.1 Distribution system operators in CZ</w:t>
      </w:r>
    </w:p>
    <w:p w:rsidR="00852060" w:rsidRPr="00F36AC1" w:rsidRDefault="00852060" w:rsidP="006779EF">
      <w:pPr>
        <w:pStyle w:val="Funotentext"/>
        <w:ind w:left="4963" w:firstLine="709"/>
        <w:rPr>
          <w:lang w:val="cs-CZ"/>
        </w:rPr>
      </w:pPr>
      <w:r w:rsidRPr="006779EF">
        <w:rPr>
          <w:rFonts w:ascii="Arial" w:hAnsi="Arial" w:cs="Arial"/>
          <w:bCs/>
          <w:i/>
          <w:sz w:val="18"/>
          <w:szCs w:val="22"/>
        </w:rPr>
        <w:t xml:space="preserve">Source: </w:t>
      </w:r>
      <w:r w:rsidRPr="002A1C60">
        <w:rPr>
          <w:rFonts w:ascii="Arial" w:hAnsi="Arial" w:cs="Arial"/>
          <w:i/>
          <w:sz w:val="18"/>
          <w:szCs w:val="22"/>
          <w:lang w:val="en-US"/>
        </w:rPr>
        <w:t>http://www.heliaenergy.cz</w:t>
      </w:r>
    </w:p>
  </w:footnote>
  <w:footnote w:id="11">
    <w:p w:rsidR="00852060" w:rsidRPr="00F36AC1" w:rsidRDefault="00852060">
      <w:pPr>
        <w:pStyle w:val="Funotentext"/>
        <w:rPr>
          <w:lang w:val="cs-CZ"/>
        </w:rPr>
      </w:pPr>
      <w:r>
        <w:rPr>
          <w:rStyle w:val="Funotenzeichen"/>
        </w:rPr>
        <w:footnoteRef/>
      </w:r>
      <w:r>
        <w:t xml:space="preserve"> </w:t>
      </w:r>
      <w:r w:rsidRPr="00F36AC1">
        <w:rPr>
          <w:rFonts w:cs="Arial"/>
          <w:lang w:val="en-GB"/>
        </w:rPr>
        <w:t>Schanda, 2003, 63-65</w:t>
      </w:r>
    </w:p>
  </w:footnote>
  <w:footnote w:id="12">
    <w:p w:rsidR="00852060" w:rsidRPr="00F36AC1" w:rsidRDefault="00852060">
      <w:pPr>
        <w:pStyle w:val="Funotentext"/>
        <w:rPr>
          <w:lang w:val="cs-CZ"/>
        </w:rPr>
      </w:pPr>
      <w:r>
        <w:rPr>
          <w:rStyle w:val="Funotenzeichen"/>
        </w:rPr>
        <w:footnoteRef/>
      </w:r>
      <w:r>
        <w:t xml:space="preserve"> </w:t>
      </w:r>
      <w:r w:rsidRPr="00F36AC1">
        <w:rPr>
          <w:rFonts w:cs="Arial"/>
          <w:lang w:val="en-GB"/>
        </w:rPr>
        <w:t>Schanda, 2003, 65-66</w:t>
      </w:r>
    </w:p>
  </w:footnote>
  <w:footnote w:id="13">
    <w:p w:rsidR="00852060" w:rsidRPr="00F36AC1" w:rsidRDefault="00852060">
      <w:pPr>
        <w:pStyle w:val="Funotentext"/>
        <w:rPr>
          <w:lang w:val="cs-CZ"/>
        </w:rPr>
      </w:pPr>
      <w:r>
        <w:rPr>
          <w:rStyle w:val="Funotenzeichen"/>
        </w:rPr>
        <w:footnoteRef/>
      </w:r>
      <w:r>
        <w:t xml:space="preserve"> </w:t>
      </w:r>
      <w:r w:rsidRPr="00F36AC1">
        <w:rPr>
          <w:rFonts w:cs="Arial"/>
          <w:lang w:val="en-GB"/>
        </w:rPr>
        <w:t>Schanda, 2003, 65-66</w:t>
      </w:r>
    </w:p>
  </w:footnote>
  <w:footnote w:id="14">
    <w:p w:rsidR="00852060" w:rsidRPr="00F36AC1" w:rsidRDefault="00852060">
      <w:pPr>
        <w:pStyle w:val="Funotentext"/>
        <w:rPr>
          <w:lang w:val="cs-CZ"/>
        </w:rPr>
      </w:pPr>
      <w:r>
        <w:rPr>
          <w:rStyle w:val="Funotenzeichen"/>
        </w:rPr>
        <w:footnoteRef/>
      </w:r>
      <w:r>
        <w:t xml:space="preserve"> </w:t>
      </w:r>
      <w:r w:rsidRPr="00F36AC1">
        <w:rPr>
          <w:rFonts w:cs="Arial"/>
          <w:lang w:val="en-GB"/>
        </w:rPr>
        <w:t xml:space="preserve"> Schanda, 2003, 65-77</w:t>
      </w:r>
    </w:p>
  </w:footnote>
  <w:footnote w:id="15">
    <w:p w:rsidR="00852060" w:rsidRPr="006779EF" w:rsidRDefault="00852060">
      <w:pPr>
        <w:pStyle w:val="Funotentext"/>
        <w:rPr>
          <w:lang w:val="cs-CZ"/>
        </w:rPr>
      </w:pPr>
      <w:r w:rsidRPr="006779EF">
        <w:rPr>
          <w:rStyle w:val="Funotenzeichen"/>
        </w:rPr>
        <w:footnoteRef/>
      </w:r>
      <w:r w:rsidRPr="006779EF">
        <w:t xml:space="preserve"> </w:t>
      </w:r>
      <w:r w:rsidRPr="006779EF">
        <w:rPr>
          <w:rFonts w:cs="Arial"/>
          <w:i/>
          <w:lang w:val="en-GB"/>
        </w:rPr>
        <w:t>&lt;</w:t>
      </w:r>
      <w:r w:rsidRPr="006779EF">
        <w:rPr>
          <w:rFonts w:cs="Arial"/>
          <w:lang w:val="en-GB"/>
        </w:rPr>
        <w:t>http://www.e-control.at/de/statistik/gas/marktstatistik/preisentwicklung&gt;, 28</w:t>
      </w:r>
      <w:r w:rsidRPr="006779EF">
        <w:rPr>
          <w:rFonts w:cs="Arial"/>
          <w:vertAlign w:val="superscript"/>
          <w:lang w:val="en-GB"/>
        </w:rPr>
        <w:t>th</w:t>
      </w:r>
      <w:r w:rsidRPr="006779EF">
        <w:rPr>
          <w:rFonts w:cs="Arial"/>
          <w:lang w:val="en-GB"/>
        </w:rPr>
        <w:t xml:space="preserve"> of April 2011</w:t>
      </w:r>
    </w:p>
  </w:footnote>
  <w:footnote w:id="16">
    <w:p w:rsidR="00852060" w:rsidRPr="006779EF" w:rsidRDefault="00852060">
      <w:pPr>
        <w:pStyle w:val="Funotentext"/>
        <w:rPr>
          <w:lang w:val="cs-CZ"/>
        </w:rPr>
      </w:pPr>
      <w:r>
        <w:rPr>
          <w:rStyle w:val="Funotenzeichen"/>
        </w:rPr>
        <w:footnoteRef/>
      </w:r>
      <w:r>
        <w:t xml:space="preserve"> </w:t>
      </w:r>
      <w:r w:rsidRPr="00D31241">
        <w:rPr>
          <w:rFonts w:cs="Arial"/>
          <w:i/>
          <w:lang w:val="cs-CZ"/>
        </w:rPr>
        <w:t>&lt;http://e-control.at/de/konsumenten/gas/der-gaspreis/preiszusammensetzung&gt;</w:t>
      </w:r>
    </w:p>
  </w:footnote>
  <w:footnote w:id="17">
    <w:p w:rsidR="00852060" w:rsidRPr="00AA3BE6" w:rsidRDefault="00852060">
      <w:pPr>
        <w:pStyle w:val="Funotentext"/>
        <w:rPr>
          <w:lang w:val="cs-CZ"/>
        </w:rPr>
      </w:pPr>
      <w:r>
        <w:rPr>
          <w:rStyle w:val="Funotenzeichen"/>
        </w:rPr>
        <w:footnoteRef/>
      </w:r>
      <w:r>
        <w:t xml:space="preserve"> </w:t>
      </w:r>
      <w:r w:rsidRPr="00D31241">
        <w:rPr>
          <w:rFonts w:cs="Arial"/>
          <w:szCs w:val="22"/>
          <w:lang w:val="cs-CZ"/>
        </w:rPr>
        <w:t>http://www.e-control.at/de/statistik/gas/marktstatistik/preisentwicklung</w:t>
      </w:r>
    </w:p>
  </w:footnote>
  <w:footnote w:id="18">
    <w:p w:rsidR="00852060" w:rsidRPr="006779EF" w:rsidRDefault="00852060">
      <w:pPr>
        <w:pStyle w:val="Funotentext"/>
        <w:rPr>
          <w:lang w:val="cs-CZ"/>
        </w:rPr>
      </w:pPr>
      <w:r w:rsidRPr="006779EF">
        <w:rPr>
          <w:rStyle w:val="Funotenzeichen"/>
        </w:rPr>
        <w:footnoteRef/>
      </w:r>
      <w:r w:rsidRPr="006779EF">
        <w:t xml:space="preserve"> </w:t>
      </w:r>
      <w:r>
        <w:rPr>
          <w:rFonts w:cs="Arial"/>
        </w:rPr>
        <w:t xml:space="preserve">Wirtschaftskammer Österreich, </w:t>
      </w:r>
      <w:r w:rsidRPr="006779EF">
        <w:rPr>
          <w:rFonts w:cs="Arial"/>
        </w:rPr>
        <w:t>http://www.wko.at/statistik/prognose/inflation.pdf</w:t>
      </w:r>
    </w:p>
  </w:footnote>
  <w:footnote w:id="19">
    <w:p w:rsidR="00852060" w:rsidRPr="006779EF" w:rsidRDefault="00852060">
      <w:pPr>
        <w:pStyle w:val="Funotentext"/>
        <w:rPr>
          <w:lang w:val="cs-CZ"/>
        </w:rPr>
      </w:pPr>
      <w:r w:rsidRPr="006779EF">
        <w:rPr>
          <w:rStyle w:val="Funotenzeichen"/>
        </w:rPr>
        <w:footnoteRef/>
      </w:r>
      <w:r w:rsidRPr="006779EF">
        <w:t xml:space="preserve"> </w:t>
      </w:r>
      <w:r w:rsidRPr="00D31241">
        <w:rPr>
          <w:rFonts w:cs="Arial"/>
          <w:lang w:val="de-AT"/>
        </w:rPr>
        <w:t>Arbeiterkammer, http://www.arbeiterkammer.at/online/strom-und-gaspreise-stark-gestiegen-56790.html</w:t>
      </w:r>
    </w:p>
  </w:footnote>
  <w:footnote w:id="20">
    <w:p w:rsidR="00852060" w:rsidRPr="00D31241" w:rsidRDefault="00852060">
      <w:pPr>
        <w:pStyle w:val="Funotentext"/>
        <w:rPr>
          <w:lang w:val="cs-CZ"/>
        </w:rPr>
      </w:pPr>
      <w:r w:rsidRPr="00430969">
        <w:rPr>
          <w:rStyle w:val="Funotenzeichen"/>
        </w:rPr>
        <w:footnoteRef/>
      </w:r>
      <w:r w:rsidRPr="00430969">
        <w:t xml:space="preserve"> </w:t>
      </w:r>
      <w:r w:rsidRPr="00D31241">
        <w:rPr>
          <w:rFonts w:cs="Arial"/>
          <w:lang w:val="cs-CZ"/>
        </w:rPr>
        <w:t>http://www.e-control.at/de/statistik/strom/marktstatistik/preisentwicklung</w:t>
      </w:r>
    </w:p>
  </w:footnote>
  <w:footnote w:id="21">
    <w:p w:rsidR="00AF6080" w:rsidRPr="00D31241" w:rsidRDefault="00AF6080" w:rsidP="00AF6080">
      <w:pPr>
        <w:pStyle w:val="Funotentext"/>
        <w:rPr>
          <w:lang w:val="cs-CZ"/>
        </w:rPr>
      </w:pPr>
      <w:r w:rsidRPr="00430969">
        <w:rPr>
          <w:rStyle w:val="Funotenzeichen"/>
        </w:rPr>
        <w:footnoteRef/>
      </w:r>
      <w:r w:rsidRPr="00430969">
        <w:t xml:space="preserve"> </w:t>
      </w:r>
      <w:r w:rsidRPr="00D31241">
        <w:rPr>
          <w:rFonts w:cs="Arial"/>
          <w:lang w:val="cs-CZ"/>
        </w:rPr>
        <w:t>http://www.e-control.at/de/statistik/strom/marktstatistik/preisentwicklung</w:t>
      </w:r>
    </w:p>
  </w:footnote>
  <w:footnote w:id="22">
    <w:p w:rsidR="00852060" w:rsidRPr="00D31241" w:rsidRDefault="00852060">
      <w:pPr>
        <w:pStyle w:val="Funotentext"/>
        <w:rPr>
          <w:lang w:val="cs-CZ"/>
        </w:rPr>
      </w:pPr>
      <w:r w:rsidRPr="00430969">
        <w:rPr>
          <w:rStyle w:val="Funotenzeichen"/>
        </w:rPr>
        <w:footnoteRef/>
      </w:r>
      <w:r w:rsidRPr="00430969">
        <w:t xml:space="preserve"> </w:t>
      </w:r>
      <w:r w:rsidRPr="00D31241">
        <w:rPr>
          <w:rFonts w:cs="Arial"/>
          <w:lang w:val="cs-CZ"/>
        </w:rPr>
        <w:t>http://www.arbeiterkammer.at/online/strom-und-gaspreise-stark-gestiegen-56790.html</w:t>
      </w:r>
    </w:p>
  </w:footnote>
  <w:footnote w:id="23">
    <w:p w:rsidR="00852060" w:rsidRPr="00586ABB" w:rsidRDefault="00852060">
      <w:pPr>
        <w:pStyle w:val="Funotentext"/>
        <w:rPr>
          <w:lang w:val="en-US"/>
        </w:rPr>
      </w:pPr>
      <w:r w:rsidRPr="00586ABB">
        <w:rPr>
          <w:rStyle w:val="Funotenzeichen"/>
        </w:rPr>
        <w:footnoteRef/>
      </w:r>
      <w:r w:rsidRPr="00586ABB">
        <w:t xml:space="preserve"> </w:t>
      </w:r>
      <w:r w:rsidRPr="00586ABB">
        <w:rPr>
          <w:lang w:val="en-US"/>
        </w:rPr>
        <w:t>Mader, Schneider, 2002, 3-12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060" w:rsidRDefault="00852060" w:rsidP="003637B0">
    <w:pPr>
      <w:pStyle w:val="Kopfzeile"/>
    </w:pP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060" w:rsidRDefault="00852060">
    <w:pPr>
      <w:pStyle w:val="Kopfzeile"/>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060" w:rsidRDefault="00852060" w:rsidP="007F191F">
    <w:pPr>
      <w:pStyle w:val="Kopfzeile"/>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23110"/>
    <w:multiLevelType w:val="hybridMultilevel"/>
    <w:tmpl w:val="98B272FC"/>
    <w:lvl w:ilvl="0" w:tplc="AFA27E12">
      <w:start w:val="1"/>
      <w:numFmt w:val="lowerLetter"/>
      <w:pStyle w:val="Odrkya"/>
      <w:lvlText w:val="%1)"/>
      <w:lvlJc w:val="left"/>
      <w:pPr>
        <w:tabs>
          <w:tab w:val="num" w:pos="567"/>
        </w:tabs>
        <w:ind w:left="567" w:hanging="283"/>
      </w:pPr>
      <w:rPr>
        <w:rFonts w:ascii="Arial" w:hAnsi="Arial" w:hint="default"/>
        <w:b w:val="0"/>
        <w:i w:val="0"/>
        <w:color w:val="auto"/>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0DA101A0"/>
    <w:multiLevelType w:val="hybridMultilevel"/>
    <w:tmpl w:val="AE347F68"/>
    <w:lvl w:ilvl="0" w:tplc="AF283E84">
      <w:start w:val="4"/>
      <w:numFmt w:val="bullet"/>
      <w:lvlText w:val=""/>
      <w:lvlJc w:val="left"/>
      <w:pPr>
        <w:ind w:left="720" w:hanging="360"/>
      </w:pPr>
      <w:rPr>
        <w:rFonts w:ascii="Wingdings" w:eastAsia="Batang"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44A0750"/>
    <w:multiLevelType w:val="hybridMultilevel"/>
    <w:tmpl w:val="5EFC577A"/>
    <w:lvl w:ilvl="0" w:tplc="A020801A">
      <w:start w:val="1"/>
      <w:numFmt w:val="bullet"/>
      <w:pStyle w:val="Odrky"/>
      <w:lvlText w:val="▪"/>
      <w:lvlJc w:val="left"/>
      <w:pPr>
        <w:tabs>
          <w:tab w:val="num" w:pos="284"/>
        </w:tabs>
        <w:ind w:left="567" w:hanging="283"/>
      </w:pPr>
      <w:rPr>
        <w:rFonts w:ascii="Times New Roman" w:hAnsi="Times New Roman" w:cs="Times New Roman" w:hint="default"/>
        <w:b w:val="0"/>
        <w:i w:val="0"/>
        <w:color w:val="auto"/>
        <w:sz w:val="24"/>
        <w:szCs w:val="24"/>
      </w:rPr>
    </w:lvl>
    <w:lvl w:ilvl="1" w:tplc="0B980B32">
      <w:start w:val="1"/>
      <w:numFmt w:val="bullet"/>
      <w:lvlText w:val="o"/>
      <w:lvlJc w:val="left"/>
      <w:pPr>
        <w:tabs>
          <w:tab w:val="num" w:pos="1440"/>
        </w:tabs>
        <w:ind w:left="1440" w:hanging="360"/>
      </w:pPr>
      <w:rPr>
        <w:rFonts w:ascii="Courier New" w:hAnsi="Courier New" w:cs="Courier New" w:hint="default"/>
      </w:rPr>
    </w:lvl>
    <w:lvl w:ilvl="2" w:tplc="CA887992">
      <w:start w:val="1"/>
      <w:numFmt w:val="bullet"/>
      <w:lvlText w:val=""/>
      <w:lvlJc w:val="left"/>
      <w:pPr>
        <w:tabs>
          <w:tab w:val="num" w:pos="2160"/>
        </w:tabs>
        <w:ind w:left="2160" w:hanging="360"/>
      </w:pPr>
      <w:rPr>
        <w:rFonts w:ascii="Wingdings" w:hAnsi="Wingdings" w:hint="default"/>
      </w:rPr>
    </w:lvl>
    <w:lvl w:ilvl="3" w:tplc="4338168C" w:tentative="1">
      <w:start w:val="1"/>
      <w:numFmt w:val="bullet"/>
      <w:lvlText w:val=""/>
      <w:lvlJc w:val="left"/>
      <w:pPr>
        <w:tabs>
          <w:tab w:val="num" w:pos="2880"/>
        </w:tabs>
        <w:ind w:left="2880" w:hanging="360"/>
      </w:pPr>
      <w:rPr>
        <w:rFonts w:ascii="Symbol" w:hAnsi="Symbol" w:hint="default"/>
      </w:rPr>
    </w:lvl>
    <w:lvl w:ilvl="4" w:tplc="4300C956" w:tentative="1">
      <w:start w:val="1"/>
      <w:numFmt w:val="bullet"/>
      <w:lvlText w:val="o"/>
      <w:lvlJc w:val="left"/>
      <w:pPr>
        <w:tabs>
          <w:tab w:val="num" w:pos="3600"/>
        </w:tabs>
        <w:ind w:left="3600" w:hanging="360"/>
      </w:pPr>
      <w:rPr>
        <w:rFonts w:ascii="Courier New" w:hAnsi="Courier New" w:cs="Courier New" w:hint="default"/>
      </w:rPr>
    </w:lvl>
    <w:lvl w:ilvl="5" w:tplc="9788EC4E" w:tentative="1">
      <w:start w:val="1"/>
      <w:numFmt w:val="bullet"/>
      <w:lvlText w:val=""/>
      <w:lvlJc w:val="left"/>
      <w:pPr>
        <w:tabs>
          <w:tab w:val="num" w:pos="4320"/>
        </w:tabs>
        <w:ind w:left="4320" w:hanging="360"/>
      </w:pPr>
      <w:rPr>
        <w:rFonts w:ascii="Wingdings" w:hAnsi="Wingdings" w:hint="default"/>
      </w:rPr>
    </w:lvl>
    <w:lvl w:ilvl="6" w:tplc="14404406" w:tentative="1">
      <w:start w:val="1"/>
      <w:numFmt w:val="bullet"/>
      <w:lvlText w:val=""/>
      <w:lvlJc w:val="left"/>
      <w:pPr>
        <w:tabs>
          <w:tab w:val="num" w:pos="5040"/>
        </w:tabs>
        <w:ind w:left="5040" w:hanging="360"/>
      </w:pPr>
      <w:rPr>
        <w:rFonts w:ascii="Symbol" w:hAnsi="Symbol" w:hint="default"/>
      </w:rPr>
    </w:lvl>
    <w:lvl w:ilvl="7" w:tplc="2A4E3E14" w:tentative="1">
      <w:start w:val="1"/>
      <w:numFmt w:val="bullet"/>
      <w:lvlText w:val="o"/>
      <w:lvlJc w:val="left"/>
      <w:pPr>
        <w:tabs>
          <w:tab w:val="num" w:pos="5760"/>
        </w:tabs>
        <w:ind w:left="5760" w:hanging="360"/>
      </w:pPr>
      <w:rPr>
        <w:rFonts w:ascii="Courier New" w:hAnsi="Courier New" w:cs="Courier New" w:hint="default"/>
      </w:rPr>
    </w:lvl>
    <w:lvl w:ilvl="8" w:tplc="E9ECC392" w:tentative="1">
      <w:start w:val="1"/>
      <w:numFmt w:val="bullet"/>
      <w:lvlText w:val=""/>
      <w:lvlJc w:val="left"/>
      <w:pPr>
        <w:tabs>
          <w:tab w:val="num" w:pos="6480"/>
        </w:tabs>
        <w:ind w:left="6480" w:hanging="360"/>
      </w:pPr>
      <w:rPr>
        <w:rFonts w:ascii="Wingdings" w:hAnsi="Wingdings" w:hint="default"/>
      </w:rPr>
    </w:lvl>
  </w:abstractNum>
  <w:abstractNum w:abstractNumId="3">
    <w:nsid w:val="1932524D"/>
    <w:multiLevelType w:val="hybridMultilevel"/>
    <w:tmpl w:val="D812A602"/>
    <w:lvl w:ilvl="0" w:tplc="EC52B640">
      <w:start w:val="1"/>
      <w:numFmt w:val="decimal"/>
      <w:pStyle w:val="Odrkyposlovn"/>
      <w:lvlText w:val="Obr. %1."/>
      <w:lvlJc w:val="left"/>
      <w:pPr>
        <w:tabs>
          <w:tab w:val="num" w:pos="851"/>
        </w:tabs>
        <w:ind w:left="851" w:hanging="851"/>
      </w:pPr>
      <w:rPr>
        <w:rFonts w:hint="default"/>
      </w:rPr>
    </w:lvl>
    <w:lvl w:ilvl="1" w:tplc="04050019">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1EBA6E76"/>
    <w:multiLevelType w:val="hybridMultilevel"/>
    <w:tmpl w:val="F1E0C552"/>
    <w:lvl w:ilvl="0" w:tplc="F8C42662">
      <w:start w:val="1"/>
      <w:numFmt w:val="bullet"/>
      <w:pStyle w:val="Texttabulky"/>
      <w:lvlText w:val="→"/>
      <w:lvlJc w:val="left"/>
      <w:pPr>
        <w:tabs>
          <w:tab w:val="num" w:pos="360"/>
        </w:tabs>
        <w:ind w:left="360" w:hanging="36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FD56568"/>
    <w:multiLevelType w:val="multilevel"/>
    <w:tmpl w:val="C8E4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9B3400"/>
    <w:multiLevelType w:val="hybridMultilevel"/>
    <w:tmpl w:val="3B5A7138"/>
    <w:lvl w:ilvl="0" w:tplc="59D6EC28">
      <w:start w:val="1"/>
      <w:numFmt w:val="decimal"/>
      <w:pStyle w:val="Titulekobrzku"/>
      <w:lvlText w:val="Tab. %1."/>
      <w:lvlJc w:val="left"/>
      <w:pPr>
        <w:tabs>
          <w:tab w:val="num" w:pos="851"/>
        </w:tabs>
        <w:ind w:left="851" w:hanging="851"/>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3E3F329E"/>
    <w:multiLevelType w:val="multilevel"/>
    <w:tmpl w:val="769C9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060B36"/>
    <w:multiLevelType w:val="hybridMultilevel"/>
    <w:tmpl w:val="679C39F8"/>
    <w:lvl w:ilvl="0" w:tplc="BDDA0F4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4E3810AB"/>
    <w:multiLevelType w:val="hybridMultilevel"/>
    <w:tmpl w:val="0060D5CC"/>
    <w:lvl w:ilvl="0" w:tplc="951A761E">
      <w:numFmt w:val="bullet"/>
      <w:lvlText w:val="-"/>
      <w:lvlJc w:val="left"/>
      <w:pPr>
        <w:ind w:left="720" w:hanging="360"/>
      </w:pPr>
      <w:rPr>
        <w:rFonts w:ascii="Arial" w:eastAsia="Batang"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EEE480F"/>
    <w:multiLevelType w:val="hybridMultilevel"/>
    <w:tmpl w:val="AEAC7C9A"/>
    <w:lvl w:ilvl="0" w:tplc="BD2833A2">
      <w:start w:val="1"/>
      <w:numFmt w:val="decimal"/>
      <w:pStyle w:val="1slovn"/>
      <w:lvlText w:val="%1."/>
      <w:lvlJc w:val="left"/>
      <w:pPr>
        <w:tabs>
          <w:tab w:val="num" w:pos="567"/>
        </w:tabs>
        <w:ind w:left="567" w:hanging="283"/>
      </w:pPr>
      <w:rPr>
        <w:rFonts w:hint="default"/>
        <w:b w:val="0"/>
        <w:i w:val="0"/>
        <w:color w:val="auto"/>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54FA510A"/>
    <w:multiLevelType w:val="multilevel"/>
    <w:tmpl w:val="8AC654DE"/>
    <w:lvl w:ilvl="0">
      <w:start w:val="1"/>
      <w:numFmt w:val="decimal"/>
      <w:pStyle w:val="slovn"/>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1"/>
  </w:num>
  <w:num w:numId="2">
    <w:abstractNumId w:val="2"/>
  </w:num>
  <w:num w:numId="3">
    <w:abstractNumId w:val="0"/>
  </w:num>
  <w:num w:numId="4">
    <w:abstractNumId w:val="10"/>
  </w:num>
  <w:num w:numId="5">
    <w:abstractNumId w:val="3"/>
  </w:num>
  <w:num w:numId="6">
    <w:abstractNumId w:val="4"/>
  </w:num>
  <w:num w:numId="7">
    <w:abstractNumId w:val="6"/>
  </w:num>
  <w:num w:numId="8">
    <w:abstractNumId w:val="5"/>
  </w:num>
  <w:num w:numId="9">
    <w:abstractNumId w:val="9"/>
  </w:num>
  <w:num w:numId="10">
    <w:abstractNumId w:val="1"/>
  </w:num>
  <w:num w:numId="11">
    <w:abstractNumId w:val="2"/>
  </w:num>
  <w:num w:numId="12">
    <w:abstractNumId w:val="2"/>
  </w:num>
  <w:num w:numId="13">
    <w:abstractNumId w:val="2"/>
  </w:num>
  <w:num w:numId="14">
    <w:abstractNumId w:val="8"/>
  </w:num>
  <w:num w:numId="15">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attachedTemplate r:id="rId1"/>
  <w:stylePaneFormatFilter w:val="3001"/>
  <w:doNotTrackMoves/>
  <w:defaultTabStop w:val="709"/>
  <w:autoHyphenation/>
  <w:hyphenationZone w:val="425"/>
  <w:noPunctuationKerning/>
  <w:characterSpacingControl w:val="doNotCompress"/>
  <w:hdrShapeDefaults>
    <o:shapedefaults v:ext="edit" spidmax="6146"/>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F2FDA"/>
    <w:rsid w:val="00003A41"/>
    <w:rsid w:val="00007F34"/>
    <w:rsid w:val="00011CF6"/>
    <w:rsid w:val="00032B11"/>
    <w:rsid w:val="000341F0"/>
    <w:rsid w:val="000512A7"/>
    <w:rsid w:val="00051F62"/>
    <w:rsid w:val="00053C82"/>
    <w:rsid w:val="000716C8"/>
    <w:rsid w:val="0007328C"/>
    <w:rsid w:val="00082681"/>
    <w:rsid w:val="000870D2"/>
    <w:rsid w:val="000916F5"/>
    <w:rsid w:val="00092CAB"/>
    <w:rsid w:val="00093876"/>
    <w:rsid w:val="00095629"/>
    <w:rsid w:val="000A3F43"/>
    <w:rsid w:val="000A77E8"/>
    <w:rsid w:val="000B1B2D"/>
    <w:rsid w:val="000B72FB"/>
    <w:rsid w:val="000D0AEF"/>
    <w:rsid w:val="000E4739"/>
    <w:rsid w:val="000F4869"/>
    <w:rsid w:val="00110EDF"/>
    <w:rsid w:val="001134EE"/>
    <w:rsid w:val="00115171"/>
    <w:rsid w:val="00120C19"/>
    <w:rsid w:val="00135114"/>
    <w:rsid w:val="00145DBF"/>
    <w:rsid w:val="00151ADA"/>
    <w:rsid w:val="00154B27"/>
    <w:rsid w:val="001570C6"/>
    <w:rsid w:val="001618B4"/>
    <w:rsid w:val="001B59B8"/>
    <w:rsid w:val="001B5ADB"/>
    <w:rsid w:val="001B7390"/>
    <w:rsid w:val="001C007F"/>
    <w:rsid w:val="001C0C4C"/>
    <w:rsid w:val="001F2FDA"/>
    <w:rsid w:val="001F581D"/>
    <w:rsid w:val="001F77CA"/>
    <w:rsid w:val="00205196"/>
    <w:rsid w:val="0021432A"/>
    <w:rsid w:val="00215A95"/>
    <w:rsid w:val="002176F4"/>
    <w:rsid w:val="002218C0"/>
    <w:rsid w:val="00230FD4"/>
    <w:rsid w:val="00236DBD"/>
    <w:rsid w:val="002450EB"/>
    <w:rsid w:val="00257988"/>
    <w:rsid w:val="00261D52"/>
    <w:rsid w:val="00283357"/>
    <w:rsid w:val="00295C01"/>
    <w:rsid w:val="002A1C60"/>
    <w:rsid w:val="002A2DFA"/>
    <w:rsid w:val="002C6766"/>
    <w:rsid w:val="002D060D"/>
    <w:rsid w:val="002D335D"/>
    <w:rsid w:val="00300974"/>
    <w:rsid w:val="00301BE0"/>
    <w:rsid w:val="0030596C"/>
    <w:rsid w:val="0032207B"/>
    <w:rsid w:val="00324E3E"/>
    <w:rsid w:val="003345E1"/>
    <w:rsid w:val="003368AD"/>
    <w:rsid w:val="00343FB3"/>
    <w:rsid w:val="00353631"/>
    <w:rsid w:val="00354F84"/>
    <w:rsid w:val="00362F30"/>
    <w:rsid w:val="003637B0"/>
    <w:rsid w:val="003714CE"/>
    <w:rsid w:val="00373A31"/>
    <w:rsid w:val="0037634B"/>
    <w:rsid w:val="003823AC"/>
    <w:rsid w:val="00383051"/>
    <w:rsid w:val="003878DF"/>
    <w:rsid w:val="00387EF6"/>
    <w:rsid w:val="003A13F5"/>
    <w:rsid w:val="003A2FE5"/>
    <w:rsid w:val="003A4191"/>
    <w:rsid w:val="003B181A"/>
    <w:rsid w:val="003C1B59"/>
    <w:rsid w:val="003D5AF6"/>
    <w:rsid w:val="003E2D89"/>
    <w:rsid w:val="004041EB"/>
    <w:rsid w:val="004069AC"/>
    <w:rsid w:val="00414268"/>
    <w:rsid w:val="00422588"/>
    <w:rsid w:val="00430969"/>
    <w:rsid w:val="00434A5B"/>
    <w:rsid w:val="00440F40"/>
    <w:rsid w:val="00450BBA"/>
    <w:rsid w:val="00453234"/>
    <w:rsid w:val="00453B80"/>
    <w:rsid w:val="0045648E"/>
    <w:rsid w:val="00465E0F"/>
    <w:rsid w:val="00467DBE"/>
    <w:rsid w:val="0047211F"/>
    <w:rsid w:val="004731F3"/>
    <w:rsid w:val="00477A28"/>
    <w:rsid w:val="004845D2"/>
    <w:rsid w:val="00487AE9"/>
    <w:rsid w:val="004907C3"/>
    <w:rsid w:val="00493802"/>
    <w:rsid w:val="0049453D"/>
    <w:rsid w:val="00496998"/>
    <w:rsid w:val="004973E8"/>
    <w:rsid w:val="004A3EBA"/>
    <w:rsid w:val="004B1ABE"/>
    <w:rsid w:val="004B1BA7"/>
    <w:rsid w:val="004C636A"/>
    <w:rsid w:val="004D35AC"/>
    <w:rsid w:val="004F0FAD"/>
    <w:rsid w:val="004F571E"/>
    <w:rsid w:val="005013FF"/>
    <w:rsid w:val="00512464"/>
    <w:rsid w:val="005241FD"/>
    <w:rsid w:val="00563665"/>
    <w:rsid w:val="00564D4D"/>
    <w:rsid w:val="00573A77"/>
    <w:rsid w:val="005757DB"/>
    <w:rsid w:val="00586ABB"/>
    <w:rsid w:val="00596843"/>
    <w:rsid w:val="005A194F"/>
    <w:rsid w:val="005B1411"/>
    <w:rsid w:val="005B365A"/>
    <w:rsid w:val="005C2282"/>
    <w:rsid w:val="005D6966"/>
    <w:rsid w:val="005D7AB1"/>
    <w:rsid w:val="005E1E57"/>
    <w:rsid w:val="005E78F5"/>
    <w:rsid w:val="00601CE0"/>
    <w:rsid w:val="00605B92"/>
    <w:rsid w:val="00613911"/>
    <w:rsid w:val="0061773F"/>
    <w:rsid w:val="006243BE"/>
    <w:rsid w:val="00624D45"/>
    <w:rsid w:val="006348A9"/>
    <w:rsid w:val="00642934"/>
    <w:rsid w:val="00666925"/>
    <w:rsid w:val="00676CE5"/>
    <w:rsid w:val="006779EF"/>
    <w:rsid w:val="006943EE"/>
    <w:rsid w:val="00694B5D"/>
    <w:rsid w:val="0069771B"/>
    <w:rsid w:val="006A4938"/>
    <w:rsid w:val="006A75A7"/>
    <w:rsid w:val="006B2B01"/>
    <w:rsid w:val="006B3E03"/>
    <w:rsid w:val="006B5931"/>
    <w:rsid w:val="006C1BAC"/>
    <w:rsid w:val="006E15CD"/>
    <w:rsid w:val="006F107F"/>
    <w:rsid w:val="006F1396"/>
    <w:rsid w:val="006F14D1"/>
    <w:rsid w:val="006F47B5"/>
    <w:rsid w:val="00704FF5"/>
    <w:rsid w:val="007138CE"/>
    <w:rsid w:val="00716AF7"/>
    <w:rsid w:val="00722034"/>
    <w:rsid w:val="007314A1"/>
    <w:rsid w:val="0073799E"/>
    <w:rsid w:val="00753BDB"/>
    <w:rsid w:val="00754B03"/>
    <w:rsid w:val="0076734E"/>
    <w:rsid w:val="007740B1"/>
    <w:rsid w:val="00795629"/>
    <w:rsid w:val="007E0506"/>
    <w:rsid w:val="007E6606"/>
    <w:rsid w:val="007F191F"/>
    <w:rsid w:val="007F44F5"/>
    <w:rsid w:val="00806EC7"/>
    <w:rsid w:val="00806FA4"/>
    <w:rsid w:val="00807639"/>
    <w:rsid w:val="008127F3"/>
    <w:rsid w:val="00814F3C"/>
    <w:rsid w:val="008166C9"/>
    <w:rsid w:val="00821BB5"/>
    <w:rsid w:val="0082300A"/>
    <w:rsid w:val="00832610"/>
    <w:rsid w:val="00844B07"/>
    <w:rsid w:val="00852060"/>
    <w:rsid w:val="008550F0"/>
    <w:rsid w:val="00855C85"/>
    <w:rsid w:val="008664F0"/>
    <w:rsid w:val="00870186"/>
    <w:rsid w:val="008901F2"/>
    <w:rsid w:val="0089040B"/>
    <w:rsid w:val="008A10D0"/>
    <w:rsid w:val="008A1474"/>
    <w:rsid w:val="008A1F50"/>
    <w:rsid w:val="008B0401"/>
    <w:rsid w:val="008B5778"/>
    <w:rsid w:val="008C507D"/>
    <w:rsid w:val="008E25C2"/>
    <w:rsid w:val="008F72B5"/>
    <w:rsid w:val="00911F4E"/>
    <w:rsid w:val="0092302C"/>
    <w:rsid w:val="0092595C"/>
    <w:rsid w:val="00930CF1"/>
    <w:rsid w:val="00935C56"/>
    <w:rsid w:val="009458D3"/>
    <w:rsid w:val="00964D7A"/>
    <w:rsid w:val="00974CFB"/>
    <w:rsid w:val="009832A7"/>
    <w:rsid w:val="009833DB"/>
    <w:rsid w:val="009B2898"/>
    <w:rsid w:val="009B2F60"/>
    <w:rsid w:val="009B3D01"/>
    <w:rsid w:val="009C5F1F"/>
    <w:rsid w:val="009C6AD6"/>
    <w:rsid w:val="009E2D53"/>
    <w:rsid w:val="009F02A0"/>
    <w:rsid w:val="009F1C35"/>
    <w:rsid w:val="009F4E33"/>
    <w:rsid w:val="00A03C3C"/>
    <w:rsid w:val="00A0753A"/>
    <w:rsid w:val="00A11C2F"/>
    <w:rsid w:val="00A22A76"/>
    <w:rsid w:val="00A366BB"/>
    <w:rsid w:val="00A44992"/>
    <w:rsid w:val="00A54850"/>
    <w:rsid w:val="00A56EF9"/>
    <w:rsid w:val="00A57383"/>
    <w:rsid w:val="00A700DC"/>
    <w:rsid w:val="00A7612A"/>
    <w:rsid w:val="00A76776"/>
    <w:rsid w:val="00A95CEE"/>
    <w:rsid w:val="00AA19B4"/>
    <w:rsid w:val="00AA3BE6"/>
    <w:rsid w:val="00AA6AA1"/>
    <w:rsid w:val="00AB107C"/>
    <w:rsid w:val="00AB4229"/>
    <w:rsid w:val="00AD299B"/>
    <w:rsid w:val="00AD2D03"/>
    <w:rsid w:val="00AD4F0D"/>
    <w:rsid w:val="00AD678C"/>
    <w:rsid w:val="00AF0F69"/>
    <w:rsid w:val="00AF6080"/>
    <w:rsid w:val="00B025F5"/>
    <w:rsid w:val="00B0389A"/>
    <w:rsid w:val="00B04442"/>
    <w:rsid w:val="00B10549"/>
    <w:rsid w:val="00B15427"/>
    <w:rsid w:val="00B162A4"/>
    <w:rsid w:val="00B17B6B"/>
    <w:rsid w:val="00B203D9"/>
    <w:rsid w:val="00B26880"/>
    <w:rsid w:val="00B34912"/>
    <w:rsid w:val="00B365BC"/>
    <w:rsid w:val="00B4491E"/>
    <w:rsid w:val="00B5353C"/>
    <w:rsid w:val="00B54FA3"/>
    <w:rsid w:val="00B55650"/>
    <w:rsid w:val="00B573B1"/>
    <w:rsid w:val="00B64F1A"/>
    <w:rsid w:val="00B72030"/>
    <w:rsid w:val="00B90241"/>
    <w:rsid w:val="00BB3EFE"/>
    <w:rsid w:val="00BE29A7"/>
    <w:rsid w:val="00BE553E"/>
    <w:rsid w:val="00BF102F"/>
    <w:rsid w:val="00BF3D32"/>
    <w:rsid w:val="00C024A4"/>
    <w:rsid w:val="00C21139"/>
    <w:rsid w:val="00C562B0"/>
    <w:rsid w:val="00C57A8A"/>
    <w:rsid w:val="00C76AE2"/>
    <w:rsid w:val="00C9007A"/>
    <w:rsid w:val="00C96CC1"/>
    <w:rsid w:val="00CA0309"/>
    <w:rsid w:val="00CA48F4"/>
    <w:rsid w:val="00CC39BA"/>
    <w:rsid w:val="00CD581B"/>
    <w:rsid w:val="00CD5DA8"/>
    <w:rsid w:val="00CD7A16"/>
    <w:rsid w:val="00D17FBB"/>
    <w:rsid w:val="00D31241"/>
    <w:rsid w:val="00D37431"/>
    <w:rsid w:val="00D44E0D"/>
    <w:rsid w:val="00D47783"/>
    <w:rsid w:val="00D63EBE"/>
    <w:rsid w:val="00D67A25"/>
    <w:rsid w:val="00D70F88"/>
    <w:rsid w:val="00D72F46"/>
    <w:rsid w:val="00D840AB"/>
    <w:rsid w:val="00D91BA8"/>
    <w:rsid w:val="00D92FE2"/>
    <w:rsid w:val="00DA24DD"/>
    <w:rsid w:val="00DB1E58"/>
    <w:rsid w:val="00DC30B3"/>
    <w:rsid w:val="00DD27DC"/>
    <w:rsid w:val="00DD5133"/>
    <w:rsid w:val="00DF481F"/>
    <w:rsid w:val="00DF4A5F"/>
    <w:rsid w:val="00DF7F10"/>
    <w:rsid w:val="00E018A0"/>
    <w:rsid w:val="00E10D8D"/>
    <w:rsid w:val="00E163C1"/>
    <w:rsid w:val="00E31003"/>
    <w:rsid w:val="00E3173E"/>
    <w:rsid w:val="00E34B84"/>
    <w:rsid w:val="00E43D8E"/>
    <w:rsid w:val="00E44207"/>
    <w:rsid w:val="00E472E9"/>
    <w:rsid w:val="00E51938"/>
    <w:rsid w:val="00E55078"/>
    <w:rsid w:val="00E61326"/>
    <w:rsid w:val="00E759C7"/>
    <w:rsid w:val="00E87035"/>
    <w:rsid w:val="00E92661"/>
    <w:rsid w:val="00E96945"/>
    <w:rsid w:val="00EA0862"/>
    <w:rsid w:val="00EA78C3"/>
    <w:rsid w:val="00EB7F62"/>
    <w:rsid w:val="00EC1213"/>
    <w:rsid w:val="00EC28A9"/>
    <w:rsid w:val="00ED6BA9"/>
    <w:rsid w:val="00EE041D"/>
    <w:rsid w:val="00EE0DFE"/>
    <w:rsid w:val="00EE0ECD"/>
    <w:rsid w:val="00EE6886"/>
    <w:rsid w:val="00F02900"/>
    <w:rsid w:val="00F12722"/>
    <w:rsid w:val="00F12D77"/>
    <w:rsid w:val="00F24F09"/>
    <w:rsid w:val="00F333CA"/>
    <w:rsid w:val="00F3452B"/>
    <w:rsid w:val="00F36AC1"/>
    <w:rsid w:val="00F37846"/>
    <w:rsid w:val="00F37BFD"/>
    <w:rsid w:val="00F4287E"/>
    <w:rsid w:val="00F44C98"/>
    <w:rsid w:val="00F46F7E"/>
    <w:rsid w:val="00F549EA"/>
    <w:rsid w:val="00F61045"/>
    <w:rsid w:val="00F61499"/>
    <w:rsid w:val="00F65770"/>
    <w:rsid w:val="00F72EF0"/>
    <w:rsid w:val="00F85776"/>
    <w:rsid w:val="00F90395"/>
    <w:rsid w:val="00F90787"/>
    <w:rsid w:val="00F93220"/>
    <w:rsid w:val="00FA247A"/>
    <w:rsid w:val="00FA34D5"/>
    <w:rsid w:val="00FA5082"/>
    <w:rsid w:val="00FD336A"/>
    <w:rsid w:val="00FD3B3B"/>
    <w:rsid w:val="00FE05E0"/>
    <w:rsid w:val="00FE48D7"/>
    <w:rsid w:val="00FF1D45"/>
  </w:rsids>
  <m:mathPr>
    <m:mathFont m:val="Cambria Math"/>
    <m:brkBin m:val="before"/>
    <m:brkBinSub m:val="--"/>
    <m:smallFrac m:val="off"/>
    <m:dispDef/>
    <m:lMargin m:val="0"/>
    <m:rMargin m:val="0"/>
    <m:defJc m:val="centerGroup"/>
    <m:wrapIndent m:val="1440"/>
    <m:intLim m:val="subSup"/>
    <m:naryLim m:val="undOvr"/>
  </m:mathPr>
  <w:uiCompat97To2003/>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caption" w:uiPriority="35"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76776"/>
    <w:pPr>
      <w:spacing w:before="40" w:after="40" w:line="276" w:lineRule="auto"/>
      <w:jc w:val="both"/>
    </w:pPr>
    <w:rPr>
      <w:rFonts w:ascii="Arial" w:eastAsia="Batang" w:hAnsi="Arial"/>
      <w:sz w:val="22"/>
      <w:szCs w:val="23"/>
      <w:lang w:val="cs-CZ" w:eastAsia="en-US"/>
    </w:rPr>
  </w:style>
  <w:style w:type="paragraph" w:styleId="berschrift1">
    <w:name w:val="heading 1"/>
    <w:basedOn w:val="Standard"/>
    <w:next w:val="Standard"/>
    <w:qFormat/>
    <w:rsid w:val="00A76776"/>
    <w:pPr>
      <w:keepNext/>
      <w:tabs>
        <w:tab w:val="left" w:pos="624"/>
      </w:tabs>
      <w:suppressAutoHyphens/>
      <w:spacing w:before="480" w:after="120" w:line="240" w:lineRule="auto"/>
      <w:jc w:val="left"/>
      <w:outlineLvl w:val="0"/>
    </w:pPr>
    <w:rPr>
      <w:rFonts w:cs="Arial"/>
      <w:b/>
      <w:bCs/>
      <w:smallCaps/>
      <w:color w:val="333399"/>
      <w:kern w:val="32"/>
      <w:sz w:val="27"/>
      <w:szCs w:val="26"/>
    </w:rPr>
  </w:style>
  <w:style w:type="paragraph" w:styleId="berschrift2">
    <w:name w:val="heading 2"/>
    <w:basedOn w:val="Standard"/>
    <w:next w:val="Standard"/>
    <w:qFormat/>
    <w:rsid w:val="00704FF5"/>
    <w:pPr>
      <w:keepNext/>
      <w:tabs>
        <w:tab w:val="left" w:pos="680"/>
      </w:tabs>
      <w:suppressAutoHyphens/>
      <w:spacing w:before="360" w:after="120" w:line="240" w:lineRule="auto"/>
      <w:ind w:left="680" w:hanging="680"/>
      <w:jc w:val="left"/>
      <w:outlineLvl w:val="1"/>
    </w:pPr>
    <w:rPr>
      <w:rFonts w:cs="Arial"/>
      <w:b/>
      <w:bCs/>
      <w:iCs/>
      <w:color w:val="333399"/>
      <w:sz w:val="24"/>
    </w:rPr>
  </w:style>
  <w:style w:type="paragraph" w:styleId="berschrift3">
    <w:name w:val="heading 3"/>
    <w:basedOn w:val="Standard"/>
    <w:next w:val="Standard"/>
    <w:qFormat/>
    <w:rsid w:val="00704FF5"/>
    <w:pPr>
      <w:keepNext/>
      <w:tabs>
        <w:tab w:val="left" w:pos="680"/>
      </w:tabs>
      <w:suppressAutoHyphens/>
      <w:spacing w:before="240" w:line="240" w:lineRule="auto"/>
      <w:jc w:val="left"/>
      <w:outlineLvl w:val="2"/>
    </w:pPr>
    <w:rPr>
      <w:rFonts w:cs="Arial"/>
      <w:b/>
      <w:bCs/>
      <w:sz w:val="23"/>
      <w:szCs w:val="26"/>
    </w:rPr>
  </w:style>
  <w:style w:type="paragraph" w:styleId="berschrift4">
    <w:name w:val="heading 4"/>
    <w:basedOn w:val="Standard"/>
    <w:next w:val="Standard"/>
    <w:qFormat/>
    <w:rsid w:val="00F4287E"/>
    <w:pPr>
      <w:keepNext/>
      <w:tabs>
        <w:tab w:val="num" w:pos="864"/>
      </w:tabs>
      <w:spacing w:before="240" w:after="60" w:line="360" w:lineRule="auto"/>
      <w:ind w:left="864" w:hanging="864"/>
      <w:outlineLvl w:val="3"/>
    </w:pPr>
    <w:rPr>
      <w:rFonts w:eastAsia="Times New Roman"/>
      <w:b/>
      <w:bCs/>
      <w:sz w:val="28"/>
      <w:szCs w:val="28"/>
      <w:lang w:eastAsia="cs-CZ"/>
    </w:rPr>
  </w:style>
  <w:style w:type="paragraph" w:styleId="berschrift6">
    <w:name w:val="heading 6"/>
    <w:basedOn w:val="Standard"/>
    <w:next w:val="Standard"/>
    <w:qFormat/>
    <w:rsid w:val="001F581D"/>
    <w:pPr>
      <w:spacing w:before="240" w:after="60"/>
      <w:outlineLvl w:val="5"/>
    </w:pPr>
    <w:rPr>
      <w:rFonts w:eastAsia="MS Mincho"/>
      <w:b/>
      <w:bCs/>
      <w:szCs w:val="22"/>
      <w:lang w:eastAsia="cs-CZ"/>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rsid w:val="00F4287E"/>
    <w:pPr>
      <w:keepNext/>
      <w:tabs>
        <w:tab w:val="left" w:pos="425"/>
        <w:tab w:val="right" w:leader="dot" w:pos="9072"/>
      </w:tabs>
      <w:spacing w:before="180" w:after="20" w:line="264" w:lineRule="auto"/>
      <w:ind w:left="425" w:right="851" w:hanging="425"/>
      <w:jc w:val="left"/>
    </w:pPr>
    <w:rPr>
      <w:b/>
      <w:szCs w:val="22"/>
    </w:rPr>
  </w:style>
  <w:style w:type="paragraph" w:customStyle="1" w:styleId="Textvtabulce">
    <w:name w:val="Text v tabulce"/>
    <w:basedOn w:val="Standard"/>
    <w:rsid w:val="001F581D"/>
    <w:pPr>
      <w:suppressAutoHyphens/>
    </w:pPr>
  </w:style>
  <w:style w:type="paragraph" w:styleId="Verzeichnis2">
    <w:name w:val="toc 2"/>
    <w:basedOn w:val="Standard"/>
    <w:next w:val="Standard"/>
    <w:autoRedefine/>
    <w:uiPriority w:val="39"/>
    <w:rsid w:val="00F4287E"/>
    <w:pPr>
      <w:tabs>
        <w:tab w:val="left" w:pos="1440"/>
        <w:tab w:val="right" w:leader="dot" w:pos="9072"/>
      </w:tabs>
      <w:spacing w:before="60" w:after="20" w:line="264" w:lineRule="auto"/>
      <w:ind w:left="879" w:right="851" w:hanging="454"/>
      <w:jc w:val="left"/>
    </w:pPr>
  </w:style>
  <w:style w:type="paragraph" w:customStyle="1" w:styleId="Titulektabulky">
    <w:name w:val="Titulek tabulky"/>
    <w:basedOn w:val="Standard"/>
    <w:next w:val="Standard"/>
    <w:rsid w:val="00F4287E"/>
    <w:pPr>
      <w:keepNext/>
      <w:keepLines/>
      <w:tabs>
        <w:tab w:val="num" w:pos="1364"/>
      </w:tabs>
      <w:suppressAutoHyphens/>
      <w:spacing w:before="360" w:after="120" w:line="360" w:lineRule="auto"/>
      <w:ind w:left="1364" w:hanging="284"/>
    </w:pPr>
    <w:rPr>
      <w:rFonts w:eastAsia="Times New Roman"/>
      <w:b/>
      <w:sz w:val="24"/>
      <w:szCs w:val="24"/>
      <w:lang w:eastAsia="cs-CZ"/>
    </w:rPr>
  </w:style>
  <w:style w:type="paragraph" w:styleId="Kopfzeile">
    <w:name w:val="header"/>
    <w:basedOn w:val="Standard"/>
    <w:rsid w:val="005C2282"/>
    <w:pPr>
      <w:tabs>
        <w:tab w:val="center" w:pos="4536"/>
        <w:tab w:val="right" w:pos="9072"/>
      </w:tabs>
      <w:spacing w:before="0" w:after="0" w:line="240" w:lineRule="auto"/>
    </w:pPr>
    <w:rPr>
      <w:sz w:val="20"/>
    </w:rPr>
  </w:style>
  <w:style w:type="paragraph" w:styleId="Fuzeile">
    <w:name w:val="footer"/>
    <w:basedOn w:val="Standard"/>
    <w:rsid w:val="001F581D"/>
    <w:pPr>
      <w:tabs>
        <w:tab w:val="center" w:pos="4536"/>
        <w:tab w:val="right" w:pos="9072"/>
      </w:tabs>
      <w:spacing w:before="20"/>
    </w:pPr>
    <w:rPr>
      <w:sz w:val="20"/>
    </w:rPr>
  </w:style>
  <w:style w:type="paragraph" w:customStyle="1" w:styleId="Titulekobrzku">
    <w:name w:val="Titulek obrázku"/>
    <w:basedOn w:val="Standard"/>
    <w:next w:val="Standard"/>
    <w:rsid w:val="00F4287E"/>
    <w:pPr>
      <w:keepLines/>
      <w:numPr>
        <w:numId w:val="7"/>
      </w:numPr>
      <w:suppressAutoHyphens/>
      <w:spacing w:before="120" w:after="240" w:line="360" w:lineRule="auto"/>
    </w:pPr>
    <w:rPr>
      <w:rFonts w:eastAsia="Times New Roman"/>
      <w:b/>
      <w:sz w:val="24"/>
      <w:szCs w:val="24"/>
      <w:lang w:eastAsia="cs-CZ"/>
    </w:rPr>
  </w:style>
  <w:style w:type="paragraph" w:customStyle="1" w:styleId="Odrky">
    <w:name w:val="Odrážky"/>
    <w:basedOn w:val="Standard"/>
    <w:rsid w:val="006A75A7"/>
    <w:pPr>
      <w:numPr>
        <w:numId w:val="2"/>
      </w:numPr>
      <w:tabs>
        <w:tab w:val="left" w:pos="567"/>
      </w:tabs>
      <w:spacing w:before="20" w:after="0"/>
    </w:pPr>
  </w:style>
  <w:style w:type="paragraph" w:customStyle="1" w:styleId="slovn">
    <w:name w:val="Číslování"/>
    <w:basedOn w:val="Standard"/>
    <w:next w:val="Standard"/>
    <w:rsid w:val="00A76776"/>
    <w:pPr>
      <w:numPr>
        <w:numId w:val="1"/>
      </w:numPr>
      <w:tabs>
        <w:tab w:val="left" w:pos="397"/>
      </w:tabs>
      <w:suppressAutoHyphens/>
      <w:spacing w:before="0"/>
    </w:pPr>
    <w:rPr>
      <w:lang w:eastAsia="cs-CZ"/>
    </w:rPr>
  </w:style>
  <w:style w:type="paragraph" w:customStyle="1" w:styleId="Odrky0">
    <w:name w:val="Odrážky –"/>
    <w:basedOn w:val="Odrky"/>
    <w:rsid w:val="00F4287E"/>
    <w:pPr>
      <w:numPr>
        <w:numId w:val="0"/>
      </w:numPr>
    </w:pPr>
  </w:style>
  <w:style w:type="character" w:styleId="Hyperlink">
    <w:name w:val="Hyperlink"/>
    <w:uiPriority w:val="99"/>
    <w:rsid w:val="00F4287E"/>
    <w:rPr>
      <w:rFonts w:ascii="Arial" w:hAnsi="Arial"/>
      <w:color w:val="0000FF"/>
      <w:sz w:val="22"/>
      <w:szCs w:val="22"/>
      <w:u w:val="dotted"/>
      <w:lang w:val="en-US" w:eastAsia="en-US" w:bidi="ar-SA"/>
    </w:rPr>
  </w:style>
  <w:style w:type="paragraph" w:styleId="Verzeichnis3">
    <w:name w:val="toc 3"/>
    <w:basedOn w:val="Standard"/>
    <w:next w:val="Standard"/>
    <w:autoRedefine/>
    <w:uiPriority w:val="39"/>
    <w:rsid w:val="00F4287E"/>
    <w:pPr>
      <w:tabs>
        <w:tab w:val="right" w:leader="dot" w:pos="9072"/>
      </w:tabs>
      <w:spacing w:before="20" w:after="20" w:line="264" w:lineRule="auto"/>
      <w:ind w:left="1446" w:right="851" w:hanging="567"/>
      <w:jc w:val="left"/>
    </w:pPr>
    <w:rPr>
      <w:noProof/>
      <w:spacing w:val="-4"/>
      <w:sz w:val="21"/>
    </w:rPr>
  </w:style>
  <w:style w:type="character" w:styleId="Seitenzahl">
    <w:name w:val="page number"/>
    <w:rsid w:val="00F4287E"/>
    <w:rPr>
      <w:rFonts w:ascii="Franklin Gothic Demi" w:hAnsi="Franklin Gothic Demi"/>
      <w:sz w:val="20"/>
      <w:szCs w:val="22"/>
      <w:lang w:val="en-US" w:eastAsia="en-US" w:bidi="ar-SA"/>
    </w:rPr>
  </w:style>
  <w:style w:type="paragraph" w:styleId="Verzeichnis4">
    <w:name w:val="toc 4"/>
    <w:basedOn w:val="Standard"/>
    <w:next w:val="Standard"/>
    <w:semiHidden/>
    <w:rsid w:val="001F581D"/>
    <w:pPr>
      <w:tabs>
        <w:tab w:val="left" w:pos="1786"/>
        <w:tab w:val="right" w:leader="dot" w:pos="9072"/>
      </w:tabs>
      <w:ind w:left="1786" w:right="851" w:hanging="737"/>
    </w:pPr>
  </w:style>
  <w:style w:type="paragraph" w:styleId="Aufzhlungszeichen">
    <w:name w:val="List Bullet"/>
    <w:basedOn w:val="Standard"/>
    <w:autoRedefine/>
    <w:rsid w:val="001F581D"/>
    <w:pPr>
      <w:spacing w:before="60" w:after="60"/>
    </w:pPr>
    <w:rPr>
      <w:rFonts w:eastAsia="MS Mincho"/>
      <w:b/>
    </w:rPr>
  </w:style>
  <w:style w:type="paragraph" w:styleId="Textkrper">
    <w:name w:val="Body Text"/>
    <w:basedOn w:val="Standard"/>
    <w:rsid w:val="00F4287E"/>
    <w:pPr>
      <w:spacing w:before="0" w:after="0" w:line="240" w:lineRule="auto"/>
      <w:jc w:val="left"/>
    </w:pPr>
    <w:rPr>
      <w:rFonts w:eastAsia="Times New Roman"/>
      <w:color w:val="000000"/>
      <w:sz w:val="24"/>
      <w:szCs w:val="20"/>
      <w:lang w:eastAsia="cs-CZ"/>
    </w:rPr>
  </w:style>
  <w:style w:type="paragraph" w:styleId="Textkrper3">
    <w:name w:val="Body Text 3"/>
    <w:basedOn w:val="Standard"/>
    <w:rsid w:val="001F581D"/>
    <w:pPr>
      <w:tabs>
        <w:tab w:val="left" w:pos="1080"/>
      </w:tabs>
      <w:spacing w:before="60" w:after="60"/>
    </w:pPr>
    <w:rPr>
      <w:rFonts w:eastAsia="MS Mincho"/>
      <w:b/>
      <w:szCs w:val="20"/>
    </w:rPr>
  </w:style>
  <w:style w:type="paragraph" w:customStyle="1" w:styleId="30510">
    <w:name w:val="Стиль Заголовок 3 + Слева:  051 см Первая строка:  0 см"/>
    <w:basedOn w:val="berschrift3"/>
    <w:autoRedefine/>
    <w:rsid w:val="00B04442"/>
    <w:pPr>
      <w:spacing w:after="60"/>
      <w:ind w:left="288"/>
      <w:jc w:val="both"/>
    </w:pPr>
    <w:rPr>
      <w:rFonts w:ascii="Tahoma" w:hAnsi="Tahoma" w:cs="Times New Roman"/>
      <w:sz w:val="26"/>
      <w:szCs w:val="20"/>
      <w:lang w:val="ru-RU" w:eastAsia="ru-RU"/>
    </w:rPr>
  </w:style>
  <w:style w:type="paragraph" w:customStyle="1" w:styleId="1slovn">
    <w:name w:val="1. číslování"/>
    <w:basedOn w:val="Odrkya"/>
    <w:rsid w:val="00F4287E"/>
    <w:pPr>
      <w:numPr>
        <w:numId w:val="4"/>
      </w:numPr>
    </w:pPr>
  </w:style>
  <w:style w:type="paragraph" w:customStyle="1" w:styleId="8nadpisboxK1">
    <w:name w:val="8_nadpis_box_K1"/>
    <w:basedOn w:val="Standard"/>
    <w:next w:val="Standard"/>
    <w:rsid w:val="00F4287E"/>
    <w:pPr>
      <w:keepNext/>
      <w:pBdr>
        <w:top w:val="single" w:sz="4" w:space="6" w:color="auto"/>
        <w:left w:val="single" w:sz="4" w:space="6" w:color="auto"/>
        <w:bottom w:val="single" w:sz="4" w:space="6" w:color="auto"/>
        <w:right w:val="single" w:sz="4" w:space="6" w:color="auto"/>
      </w:pBdr>
      <w:shd w:val="clear" w:color="auto" w:fill="F3D9E6"/>
      <w:suppressAutoHyphens/>
      <w:spacing w:before="240" w:after="60" w:line="240" w:lineRule="auto"/>
      <w:jc w:val="left"/>
    </w:pPr>
    <w:rPr>
      <w:b/>
      <w:sz w:val="21"/>
      <w:szCs w:val="22"/>
    </w:rPr>
  </w:style>
  <w:style w:type="paragraph" w:customStyle="1" w:styleId="Nadpis1a">
    <w:name w:val="Nadpis 1a"/>
    <w:basedOn w:val="berschrift1"/>
    <w:rsid w:val="00F4287E"/>
    <w:pPr>
      <w:spacing w:before="0" w:after="180"/>
    </w:pPr>
    <w:rPr>
      <w:rFonts w:eastAsia="Times New Roman"/>
      <w:spacing w:val="20"/>
      <w:kern w:val="16"/>
      <w:sz w:val="24"/>
      <w:lang w:eastAsia="cs-CZ"/>
    </w:rPr>
  </w:style>
  <w:style w:type="paragraph" w:customStyle="1" w:styleId="Normlntext">
    <w:name w:val="Normální text"/>
    <w:basedOn w:val="Standard"/>
    <w:rsid w:val="00F4287E"/>
    <w:pPr>
      <w:ind w:firstLine="284"/>
    </w:pPr>
    <w:rPr>
      <w:bCs/>
      <w:szCs w:val="22"/>
    </w:rPr>
  </w:style>
  <w:style w:type="paragraph" w:customStyle="1" w:styleId="Odrkya">
    <w:name w:val="Odrážky a)"/>
    <w:basedOn w:val="Odrky"/>
    <w:rsid w:val="00F4287E"/>
    <w:pPr>
      <w:numPr>
        <w:numId w:val="3"/>
      </w:numPr>
    </w:pPr>
    <w:rPr>
      <w:szCs w:val="22"/>
    </w:rPr>
  </w:style>
  <w:style w:type="paragraph" w:customStyle="1" w:styleId="8normlnboxK1">
    <w:name w:val="8_normální_box_K1"/>
    <w:basedOn w:val="Standard"/>
    <w:next w:val="Standard"/>
    <w:rsid w:val="00F4287E"/>
    <w:pPr>
      <w:pBdr>
        <w:top w:val="single" w:sz="4" w:space="6" w:color="auto"/>
        <w:left w:val="single" w:sz="4" w:space="6" w:color="auto"/>
        <w:bottom w:val="single" w:sz="4" w:space="6" w:color="auto"/>
        <w:right w:val="single" w:sz="4" w:space="6" w:color="auto"/>
      </w:pBdr>
      <w:shd w:val="clear" w:color="auto" w:fill="F3D9E6"/>
      <w:spacing w:line="240" w:lineRule="auto"/>
    </w:pPr>
    <w:rPr>
      <w:sz w:val="19"/>
      <w:szCs w:val="21"/>
    </w:rPr>
  </w:style>
  <w:style w:type="paragraph" w:customStyle="1" w:styleId="8normlntextboxK1">
    <w:name w:val="8_normální_text_box_K1"/>
    <w:basedOn w:val="8normlnboxK1"/>
    <w:rsid w:val="00F4287E"/>
    <w:pPr>
      <w:ind w:firstLine="284"/>
    </w:pPr>
  </w:style>
  <w:style w:type="paragraph" w:customStyle="1" w:styleId="8odrkyboxK1">
    <w:name w:val="8_odrážky_box_K1"/>
    <w:basedOn w:val="8normlnboxK1"/>
    <w:rsid w:val="00F4287E"/>
    <w:pPr>
      <w:keepLines/>
      <w:tabs>
        <w:tab w:val="left" w:pos="142"/>
        <w:tab w:val="left" w:pos="284"/>
      </w:tabs>
      <w:spacing w:before="20" w:after="0"/>
      <w:ind w:left="284" w:hanging="284"/>
    </w:pPr>
  </w:style>
  <w:style w:type="paragraph" w:customStyle="1" w:styleId="8zdrojboxK1">
    <w:name w:val="8_zdroj_box_K1"/>
    <w:basedOn w:val="8normlnboxK1"/>
    <w:next w:val="8normlntextboxK1"/>
    <w:rsid w:val="00F4287E"/>
    <w:pPr>
      <w:keepLines/>
      <w:suppressAutoHyphens/>
      <w:spacing w:after="20"/>
      <w:jc w:val="right"/>
    </w:pPr>
    <w:rPr>
      <w:szCs w:val="20"/>
    </w:rPr>
  </w:style>
  <w:style w:type="paragraph" w:customStyle="1" w:styleId="Literatura">
    <w:name w:val="Literatura"/>
    <w:basedOn w:val="Standard"/>
    <w:rsid w:val="00F4287E"/>
    <w:pPr>
      <w:keepLines/>
      <w:tabs>
        <w:tab w:val="left" w:pos="567"/>
      </w:tabs>
      <w:suppressAutoHyphens/>
      <w:ind w:left="567" w:hanging="567"/>
      <w:jc w:val="left"/>
    </w:pPr>
    <w:rPr>
      <w:rFonts w:eastAsia="Times New Roman"/>
      <w:szCs w:val="21"/>
      <w:lang w:eastAsia="cs-CZ"/>
    </w:rPr>
  </w:style>
  <w:style w:type="paragraph" w:customStyle="1" w:styleId="Literatura2">
    <w:name w:val="Literatura 2"/>
    <w:basedOn w:val="Literatura"/>
    <w:rsid w:val="00F4287E"/>
    <w:pPr>
      <w:keepLines w:val="0"/>
      <w:tabs>
        <w:tab w:val="clear" w:pos="567"/>
      </w:tabs>
      <w:spacing w:after="0" w:line="319" w:lineRule="auto"/>
      <w:ind w:left="0" w:firstLine="0"/>
    </w:pPr>
    <w:rPr>
      <w:sz w:val="20"/>
      <w:szCs w:val="20"/>
    </w:rPr>
  </w:style>
  <w:style w:type="paragraph" w:customStyle="1" w:styleId="Nadpis1b">
    <w:name w:val="Nadpis 1b"/>
    <w:basedOn w:val="Nadpis1a"/>
    <w:rsid w:val="00F4287E"/>
    <w:pPr>
      <w:spacing w:before="180" w:after="0"/>
      <w:outlineLvl w:val="9"/>
    </w:pPr>
    <w:rPr>
      <w:szCs w:val="28"/>
    </w:rPr>
  </w:style>
  <w:style w:type="paragraph" w:styleId="Titel">
    <w:name w:val="Title"/>
    <w:basedOn w:val="Standard"/>
    <w:qFormat/>
    <w:rsid w:val="00F4287E"/>
    <w:pPr>
      <w:spacing w:before="0" w:after="0" w:line="240" w:lineRule="auto"/>
      <w:ind w:firstLine="57"/>
      <w:jc w:val="center"/>
    </w:pPr>
    <w:rPr>
      <w:rFonts w:ascii="Bookman Old Style" w:eastAsia="Times New Roman" w:hAnsi="Bookman Old Style"/>
      <w:b/>
      <w:sz w:val="24"/>
      <w:szCs w:val="20"/>
      <w:lang w:eastAsia="cs-CZ"/>
    </w:rPr>
  </w:style>
  <w:style w:type="paragraph" w:customStyle="1" w:styleId="Normlnrovnice">
    <w:name w:val="Normální rovnice"/>
    <w:basedOn w:val="Standard"/>
    <w:rsid w:val="00F4287E"/>
    <w:pPr>
      <w:tabs>
        <w:tab w:val="left" w:pos="1134"/>
      </w:tabs>
      <w:suppressAutoHyphens/>
      <w:spacing w:before="60" w:after="60"/>
    </w:pPr>
    <w:rPr>
      <w:rFonts w:eastAsia="Times New Roman"/>
      <w:i/>
      <w:spacing w:val="-3"/>
      <w:sz w:val="26"/>
      <w:szCs w:val="24"/>
      <w:lang w:eastAsia="cs-CZ"/>
    </w:rPr>
  </w:style>
  <w:style w:type="paragraph" w:customStyle="1" w:styleId="NormlnTabulkatext">
    <w:name w:val="Normální Tabulka text"/>
    <w:basedOn w:val="Standard"/>
    <w:rsid w:val="00F4287E"/>
    <w:pPr>
      <w:suppressAutoHyphens/>
      <w:spacing w:before="20" w:after="20" w:line="240" w:lineRule="auto"/>
      <w:jc w:val="left"/>
    </w:pPr>
    <w:rPr>
      <w:rFonts w:cs="Bookman Old Style"/>
      <w:sz w:val="19"/>
      <w:szCs w:val="18"/>
    </w:rPr>
  </w:style>
  <w:style w:type="paragraph" w:customStyle="1" w:styleId="NormlnTabulkatextslovn">
    <w:name w:val="Normální Tabulka text číslování"/>
    <w:basedOn w:val="NormlnTabulkatext"/>
    <w:rsid w:val="00F4287E"/>
    <w:pPr>
      <w:tabs>
        <w:tab w:val="left" w:pos="142"/>
        <w:tab w:val="left" w:pos="284"/>
      </w:tabs>
      <w:ind w:left="284" w:hanging="284"/>
    </w:pPr>
    <w:rPr>
      <w:rFonts w:cs="Times New Roman"/>
      <w:szCs w:val="19"/>
    </w:rPr>
  </w:style>
  <w:style w:type="paragraph" w:customStyle="1" w:styleId="Normlntextzatabulkou">
    <w:name w:val="Normální text za tabulkou"/>
    <w:basedOn w:val="Standard"/>
    <w:rsid w:val="00704FF5"/>
    <w:pPr>
      <w:spacing w:before="260" w:after="60"/>
      <w:ind w:firstLine="284"/>
    </w:pPr>
    <w:rPr>
      <w:rFonts w:eastAsia="Times New Roman"/>
      <w:szCs w:val="26"/>
      <w:lang w:eastAsia="cs-CZ"/>
    </w:rPr>
  </w:style>
  <w:style w:type="paragraph" w:customStyle="1" w:styleId="Normlntextodsazen">
    <w:name w:val="Normální_text_odsazený"/>
    <w:basedOn w:val="Normlntext"/>
    <w:next w:val="Normlntext"/>
    <w:rsid w:val="00F4287E"/>
    <w:pPr>
      <w:spacing w:before="200"/>
    </w:pPr>
  </w:style>
  <w:style w:type="paragraph" w:customStyle="1" w:styleId="Obrzek">
    <w:name w:val="Obrázek"/>
    <w:basedOn w:val="Standard"/>
    <w:next w:val="Standard"/>
    <w:rsid w:val="00F4287E"/>
    <w:pPr>
      <w:keepNext/>
      <w:suppressAutoHyphens/>
      <w:spacing w:before="260" w:after="0"/>
      <w:jc w:val="center"/>
    </w:pPr>
    <w:rPr>
      <w:rFonts w:eastAsia="Times New Roman"/>
      <w:sz w:val="26"/>
      <w:szCs w:val="26"/>
      <w:lang w:eastAsia="cs-CZ"/>
    </w:rPr>
  </w:style>
  <w:style w:type="paragraph" w:customStyle="1" w:styleId="Odrky1">
    <w:name w:val="Odrážky 1"/>
    <w:basedOn w:val="Standard"/>
    <w:rsid w:val="00F4287E"/>
    <w:pPr>
      <w:spacing w:before="0" w:after="60" w:line="319" w:lineRule="auto"/>
      <w:jc w:val="left"/>
    </w:pPr>
    <w:rPr>
      <w:rFonts w:eastAsia="Times New Roman"/>
      <w:sz w:val="23"/>
    </w:rPr>
  </w:style>
  <w:style w:type="paragraph" w:customStyle="1" w:styleId="Odrky2">
    <w:name w:val="Odrážky 2"/>
    <w:basedOn w:val="Odrky"/>
    <w:rsid w:val="00F4287E"/>
    <w:pPr>
      <w:numPr>
        <w:numId w:val="0"/>
      </w:numPr>
      <w:tabs>
        <w:tab w:val="left" w:pos="851"/>
      </w:tabs>
    </w:pPr>
    <w:rPr>
      <w:bCs/>
    </w:rPr>
  </w:style>
  <w:style w:type="paragraph" w:customStyle="1" w:styleId="Odrky2a">
    <w:name w:val="Odrážky 2 a)"/>
    <w:basedOn w:val="Standard"/>
    <w:rsid w:val="00F4287E"/>
    <w:pPr>
      <w:tabs>
        <w:tab w:val="left" w:pos="851"/>
      </w:tabs>
      <w:ind w:left="851" w:hanging="284"/>
    </w:pPr>
  </w:style>
  <w:style w:type="paragraph" w:customStyle="1" w:styleId="Odrkyposlovn">
    <w:name w:val="Odrážky po číslování"/>
    <w:basedOn w:val="Odrky"/>
    <w:rsid w:val="00F4287E"/>
    <w:pPr>
      <w:numPr>
        <w:numId w:val="5"/>
      </w:numPr>
      <w:tabs>
        <w:tab w:val="clear" w:pos="567"/>
      </w:tabs>
      <w:suppressAutoHyphens/>
      <w:spacing w:before="0"/>
      <w:jc w:val="left"/>
    </w:pPr>
    <w:rPr>
      <w:rFonts w:eastAsia="Times New Roman"/>
      <w:sz w:val="26"/>
      <w:szCs w:val="26"/>
      <w:lang w:eastAsia="cs-CZ"/>
    </w:rPr>
  </w:style>
  <w:style w:type="paragraph" w:customStyle="1" w:styleId="Texttabulky">
    <w:name w:val="Text tabulky"/>
    <w:basedOn w:val="Standard"/>
    <w:rsid w:val="00F4287E"/>
    <w:pPr>
      <w:numPr>
        <w:numId w:val="6"/>
      </w:numPr>
      <w:suppressAutoHyphens/>
      <w:spacing w:after="20" w:line="240" w:lineRule="auto"/>
      <w:jc w:val="left"/>
    </w:pPr>
    <w:rPr>
      <w:sz w:val="23"/>
      <w:szCs w:val="24"/>
      <w:lang w:eastAsia="cs-CZ"/>
    </w:rPr>
  </w:style>
  <w:style w:type="paragraph" w:styleId="Beschriftung">
    <w:name w:val="caption"/>
    <w:basedOn w:val="Standard"/>
    <w:next w:val="Standard"/>
    <w:uiPriority w:val="35"/>
    <w:qFormat/>
    <w:rsid w:val="00F4287E"/>
    <w:pPr>
      <w:spacing w:before="120" w:after="120"/>
    </w:pPr>
    <w:rPr>
      <w:b/>
      <w:bCs/>
      <w:sz w:val="20"/>
      <w:szCs w:val="20"/>
    </w:rPr>
  </w:style>
  <w:style w:type="paragraph" w:styleId="Textkrper2">
    <w:name w:val="Body Text 2"/>
    <w:basedOn w:val="Standard"/>
    <w:rsid w:val="00F4287E"/>
    <w:pPr>
      <w:spacing w:before="120" w:after="0" w:line="360" w:lineRule="auto"/>
    </w:pPr>
    <w:rPr>
      <w:rFonts w:eastAsia="Times New Roman"/>
      <w:b/>
      <w:bCs/>
      <w:sz w:val="24"/>
      <w:szCs w:val="24"/>
      <w:lang w:eastAsia="cs-CZ"/>
    </w:rPr>
  </w:style>
  <w:style w:type="paragraph" w:styleId="Textkrper-Zeileneinzug">
    <w:name w:val="Body Text Indent"/>
    <w:basedOn w:val="Standard"/>
    <w:rsid w:val="00F4287E"/>
    <w:pPr>
      <w:spacing w:before="0" w:after="0" w:line="240" w:lineRule="auto"/>
      <w:ind w:left="1701" w:hanging="1701"/>
      <w:jc w:val="left"/>
    </w:pPr>
    <w:rPr>
      <w:rFonts w:ascii="Franklin Gothic Demi" w:eastAsia="Times New Roman" w:hAnsi="Franklin Gothic Demi"/>
      <w:color w:val="000080"/>
      <w:sz w:val="28"/>
      <w:szCs w:val="24"/>
      <w:lang w:eastAsia="cs-CZ"/>
    </w:rPr>
  </w:style>
  <w:style w:type="paragraph" w:customStyle="1" w:styleId="Zdroj1">
    <w:name w:val="Zdroj 1"/>
    <w:basedOn w:val="Standard"/>
    <w:rsid w:val="00F4287E"/>
    <w:pPr>
      <w:pBdr>
        <w:top w:val="single" w:sz="4" w:space="3" w:color="auto"/>
        <w:left w:val="single" w:sz="4" w:space="3" w:color="auto"/>
        <w:bottom w:val="single" w:sz="4" w:space="3" w:color="auto"/>
        <w:right w:val="single" w:sz="4" w:space="3" w:color="auto"/>
      </w:pBdr>
      <w:shd w:val="clear" w:color="auto" w:fill="EBEBF9"/>
      <w:spacing w:before="20" w:after="60" w:line="240" w:lineRule="auto"/>
      <w:jc w:val="center"/>
    </w:pPr>
    <w:rPr>
      <w:rFonts w:eastAsia="Times New Roman"/>
      <w:i/>
      <w:sz w:val="19"/>
      <w:szCs w:val="20"/>
      <w:lang w:eastAsia="cs-CZ"/>
    </w:rPr>
  </w:style>
  <w:style w:type="paragraph" w:customStyle="1" w:styleId="Zdroj2">
    <w:name w:val="Zdroj 2"/>
    <w:basedOn w:val="Standard"/>
    <w:rsid w:val="00F4287E"/>
    <w:pPr>
      <w:pBdr>
        <w:top w:val="single" w:sz="4" w:space="6" w:color="auto"/>
        <w:left w:val="single" w:sz="4" w:space="6" w:color="auto"/>
        <w:bottom w:val="single" w:sz="4" w:space="6" w:color="auto"/>
        <w:right w:val="single" w:sz="4" w:space="6" w:color="auto"/>
      </w:pBdr>
      <w:shd w:val="clear" w:color="auto" w:fill="E6E6E6"/>
      <w:spacing w:before="120" w:after="0" w:line="240" w:lineRule="auto"/>
      <w:jc w:val="right"/>
    </w:pPr>
    <w:rPr>
      <w:rFonts w:eastAsia="Times New Roman"/>
      <w:sz w:val="20"/>
      <w:szCs w:val="20"/>
      <w:lang w:eastAsia="cs-CZ"/>
    </w:rPr>
  </w:style>
  <w:style w:type="paragraph" w:customStyle="1" w:styleId="Zdroj3">
    <w:name w:val="Zdroj 3"/>
    <w:basedOn w:val="Zdroj1"/>
    <w:rsid w:val="00F4287E"/>
    <w:pPr>
      <w:pBdr>
        <w:top w:val="none" w:sz="0" w:space="0" w:color="auto"/>
        <w:left w:val="none" w:sz="0" w:space="0" w:color="auto"/>
        <w:bottom w:val="none" w:sz="0" w:space="0" w:color="auto"/>
        <w:right w:val="none" w:sz="0" w:space="0" w:color="auto"/>
      </w:pBdr>
      <w:shd w:val="clear" w:color="auto" w:fill="auto"/>
      <w:suppressAutoHyphens/>
      <w:jc w:val="right"/>
    </w:pPr>
    <w:rPr>
      <w:sz w:val="21"/>
    </w:rPr>
  </w:style>
  <w:style w:type="paragraph" w:customStyle="1" w:styleId="Title1">
    <w:name w:val="Title1"/>
    <w:basedOn w:val="berschrift1"/>
    <w:rsid w:val="00ED6BA9"/>
    <w:pPr>
      <w:tabs>
        <w:tab w:val="clear" w:pos="624"/>
      </w:tabs>
      <w:suppressAutoHyphens w:val="0"/>
      <w:spacing w:before="0" w:after="0" w:line="288" w:lineRule="auto"/>
      <w:jc w:val="center"/>
    </w:pPr>
    <w:rPr>
      <w:rFonts w:eastAsia="Times New Roman" w:cs="Times New Roman"/>
      <w:smallCaps w:val="0"/>
      <w:color w:val="auto"/>
      <w:kern w:val="0"/>
      <w:sz w:val="40"/>
      <w:szCs w:val="28"/>
      <w:lang w:val="en-GB" w:eastAsia="de-DE"/>
    </w:rPr>
  </w:style>
  <w:style w:type="paragraph" w:customStyle="1" w:styleId="Char">
    <w:name w:val="Char"/>
    <w:basedOn w:val="Standard"/>
    <w:rsid w:val="00D17FBB"/>
    <w:pPr>
      <w:spacing w:before="0" w:after="160" w:line="240" w:lineRule="exact"/>
      <w:jc w:val="left"/>
    </w:pPr>
    <w:rPr>
      <w:rFonts w:ascii="Tahoma" w:eastAsia="Times New Roman" w:hAnsi="Tahoma"/>
      <w:sz w:val="20"/>
      <w:szCs w:val="20"/>
      <w:lang w:val="en-US"/>
    </w:rPr>
  </w:style>
  <w:style w:type="paragraph" w:styleId="StandardWeb">
    <w:name w:val="Normal (Web)"/>
    <w:aliases w:val="Normální (síť WWW)"/>
    <w:basedOn w:val="Standard"/>
    <w:rsid w:val="00D17FBB"/>
    <w:pPr>
      <w:spacing w:before="0" w:after="0" w:line="240" w:lineRule="auto"/>
      <w:jc w:val="left"/>
    </w:pPr>
    <w:rPr>
      <w:rFonts w:ascii="Times New Roman" w:eastAsia="Times New Roman" w:hAnsi="Times New Roman"/>
      <w:sz w:val="24"/>
      <w:szCs w:val="24"/>
      <w:lang w:eastAsia="cs-CZ"/>
    </w:rPr>
  </w:style>
  <w:style w:type="paragraph" w:styleId="Inhaltsverzeichnisberschrift">
    <w:name w:val="TOC Heading"/>
    <w:basedOn w:val="berschrift1"/>
    <w:next w:val="Standard"/>
    <w:uiPriority w:val="39"/>
    <w:semiHidden/>
    <w:unhideWhenUsed/>
    <w:qFormat/>
    <w:rsid w:val="00154B27"/>
    <w:pPr>
      <w:keepLines/>
      <w:tabs>
        <w:tab w:val="clear" w:pos="624"/>
      </w:tabs>
      <w:suppressAutoHyphens w:val="0"/>
      <w:spacing w:after="0" w:line="276" w:lineRule="auto"/>
      <w:outlineLvl w:val="9"/>
    </w:pPr>
    <w:rPr>
      <w:rFonts w:ascii="Cambria" w:eastAsia="Times New Roman" w:hAnsi="Cambria" w:cs="Times New Roman"/>
      <w:smallCaps w:val="0"/>
      <w:color w:val="365F91"/>
      <w:kern w:val="0"/>
      <w:sz w:val="28"/>
      <w:szCs w:val="28"/>
    </w:rPr>
  </w:style>
  <w:style w:type="paragraph" w:styleId="Sprechblasentext">
    <w:name w:val="Balloon Text"/>
    <w:basedOn w:val="Standard"/>
    <w:link w:val="SprechblasentextZchn"/>
    <w:rsid w:val="00B72030"/>
    <w:pPr>
      <w:spacing w:before="0" w:after="0" w:line="240" w:lineRule="auto"/>
    </w:pPr>
    <w:rPr>
      <w:rFonts w:ascii="Tahoma" w:hAnsi="Tahoma"/>
      <w:sz w:val="16"/>
      <w:szCs w:val="16"/>
      <w:lang/>
    </w:rPr>
  </w:style>
  <w:style w:type="character" w:customStyle="1" w:styleId="SprechblasentextZchn">
    <w:name w:val="Sprechblasentext Zchn"/>
    <w:link w:val="Sprechblasentext"/>
    <w:rsid w:val="00B72030"/>
    <w:rPr>
      <w:rFonts w:ascii="Tahoma" w:eastAsia="Batang" w:hAnsi="Tahoma" w:cs="Tahoma"/>
      <w:sz w:val="16"/>
      <w:szCs w:val="16"/>
      <w:lang w:eastAsia="en-US"/>
    </w:rPr>
  </w:style>
  <w:style w:type="character" w:styleId="BesuchterHyperlink">
    <w:name w:val="FollowedHyperlink"/>
    <w:rsid w:val="0092595C"/>
    <w:rPr>
      <w:color w:val="800080"/>
      <w:u w:val="single"/>
    </w:rPr>
  </w:style>
  <w:style w:type="paragraph" w:styleId="Abbildungsverzeichnis">
    <w:name w:val="table of figures"/>
    <w:basedOn w:val="Standard"/>
    <w:next w:val="Standard"/>
    <w:uiPriority w:val="99"/>
    <w:rsid w:val="00613911"/>
    <w:pPr>
      <w:spacing w:before="0" w:after="0"/>
      <w:ind w:left="440" w:hanging="440"/>
      <w:jc w:val="left"/>
    </w:pPr>
    <w:rPr>
      <w:rFonts w:ascii="Calibri" w:hAnsi="Calibri" w:cs="Calibri"/>
      <w:b/>
      <w:bCs/>
      <w:sz w:val="20"/>
      <w:szCs w:val="20"/>
    </w:rPr>
  </w:style>
  <w:style w:type="table" w:styleId="Tabellengitternetz">
    <w:name w:val="Table Grid"/>
    <w:basedOn w:val="NormaleTabelle"/>
    <w:uiPriority w:val="59"/>
    <w:rsid w:val="004D35A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3878DF"/>
    <w:pPr>
      <w:spacing w:before="0" w:after="0" w:line="240" w:lineRule="auto"/>
      <w:jc w:val="left"/>
    </w:pPr>
    <w:rPr>
      <w:rFonts w:ascii="Calibri" w:eastAsia="Calibri" w:hAnsi="Calibri"/>
      <w:sz w:val="20"/>
      <w:szCs w:val="20"/>
      <w:lang w:val="sk-SK"/>
    </w:rPr>
  </w:style>
  <w:style w:type="character" w:customStyle="1" w:styleId="FunotentextZchn">
    <w:name w:val="Fußnotentext Zchn"/>
    <w:link w:val="Funotentext"/>
    <w:uiPriority w:val="99"/>
    <w:rsid w:val="003878DF"/>
    <w:rPr>
      <w:rFonts w:ascii="Calibri" w:eastAsia="Calibri" w:hAnsi="Calibri" w:cs="Times New Roman"/>
      <w:lang w:val="sk-SK" w:eastAsia="en-US"/>
    </w:rPr>
  </w:style>
  <w:style w:type="character" w:styleId="Funotenzeichen">
    <w:name w:val="footnote reference"/>
    <w:uiPriority w:val="99"/>
    <w:unhideWhenUsed/>
    <w:rsid w:val="003878DF"/>
    <w:rPr>
      <w:vertAlign w:val="superscript"/>
    </w:rPr>
  </w:style>
  <w:style w:type="character" w:styleId="HTMLZitat">
    <w:name w:val="HTML Cite"/>
    <w:uiPriority w:val="99"/>
    <w:unhideWhenUsed/>
    <w:rsid w:val="00F61499"/>
    <w:rPr>
      <w:i/>
      <w:iCs/>
    </w:rPr>
  </w:style>
  <w:style w:type="character" w:customStyle="1" w:styleId="apple-style-span">
    <w:name w:val="apple-style-span"/>
    <w:basedOn w:val="Absatz-Standardschriftart"/>
    <w:rsid w:val="00B0389A"/>
  </w:style>
  <w:style w:type="character" w:customStyle="1" w:styleId="apple-converted-space">
    <w:name w:val="apple-converted-space"/>
    <w:basedOn w:val="Absatz-Standardschriftart"/>
    <w:rsid w:val="0049453D"/>
  </w:style>
  <w:style w:type="paragraph" w:customStyle="1" w:styleId="Default">
    <w:name w:val="Default"/>
    <w:rsid w:val="00AD678C"/>
    <w:pPr>
      <w:autoSpaceDE w:val="0"/>
      <w:autoSpaceDN w:val="0"/>
      <w:adjustRightInd w:val="0"/>
    </w:pPr>
    <w:rPr>
      <w:color w:val="000000"/>
      <w:sz w:val="24"/>
      <w:szCs w:val="24"/>
      <w:lang w:val="cs-CZ" w:eastAsia="cs-CZ"/>
    </w:rPr>
  </w:style>
  <w:style w:type="paragraph" w:styleId="Endnotentext">
    <w:name w:val="endnote text"/>
    <w:basedOn w:val="Standard"/>
    <w:link w:val="EndnotentextZchn"/>
    <w:rsid w:val="00F36AC1"/>
    <w:rPr>
      <w:sz w:val="20"/>
      <w:szCs w:val="20"/>
    </w:rPr>
  </w:style>
  <w:style w:type="character" w:customStyle="1" w:styleId="EndnotentextZchn">
    <w:name w:val="Endnotentext Zchn"/>
    <w:basedOn w:val="Absatz-Standardschriftart"/>
    <w:link w:val="Endnotentext"/>
    <w:rsid w:val="00F36AC1"/>
    <w:rPr>
      <w:rFonts w:ascii="Arial" w:eastAsia="Batang" w:hAnsi="Arial"/>
      <w:lang w:eastAsia="en-US"/>
    </w:rPr>
  </w:style>
  <w:style w:type="character" w:styleId="Endnotenzeichen">
    <w:name w:val="endnote reference"/>
    <w:basedOn w:val="Absatz-Standardschriftart"/>
    <w:rsid w:val="00F36AC1"/>
    <w:rPr>
      <w:vertAlign w:val="superscript"/>
    </w:rPr>
  </w:style>
  <w:style w:type="character" w:customStyle="1" w:styleId="FootnoteReference">
    <w:name w:val="Footnote Reference"/>
    <w:uiPriority w:val="99"/>
    <w:rsid w:val="00F37846"/>
    <w:rPr>
      <w:color w:val="000000"/>
    </w:rPr>
  </w:style>
</w:styles>
</file>

<file path=word/webSettings.xml><?xml version="1.0" encoding="utf-8"?>
<w:webSettings xmlns:r="http://schemas.openxmlformats.org/officeDocument/2006/relationships" xmlns:w="http://schemas.openxmlformats.org/wordprocessingml/2006/main">
  <w:divs>
    <w:div w:id="222915646">
      <w:bodyDiv w:val="1"/>
      <w:marLeft w:val="0"/>
      <w:marRight w:val="0"/>
      <w:marTop w:val="0"/>
      <w:marBottom w:val="0"/>
      <w:divBdr>
        <w:top w:val="none" w:sz="0" w:space="0" w:color="auto"/>
        <w:left w:val="none" w:sz="0" w:space="0" w:color="auto"/>
        <w:bottom w:val="none" w:sz="0" w:space="0" w:color="auto"/>
        <w:right w:val="none" w:sz="0" w:space="0" w:color="auto"/>
      </w:divBdr>
    </w:div>
    <w:div w:id="462818936">
      <w:bodyDiv w:val="1"/>
      <w:marLeft w:val="0"/>
      <w:marRight w:val="0"/>
      <w:marTop w:val="0"/>
      <w:marBottom w:val="0"/>
      <w:divBdr>
        <w:top w:val="none" w:sz="0" w:space="0" w:color="auto"/>
        <w:left w:val="none" w:sz="0" w:space="0" w:color="auto"/>
        <w:bottom w:val="none" w:sz="0" w:space="0" w:color="auto"/>
        <w:right w:val="none" w:sz="0" w:space="0" w:color="auto"/>
      </w:divBdr>
    </w:div>
    <w:div w:id="506755073">
      <w:bodyDiv w:val="1"/>
      <w:marLeft w:val="0"/>
      <w:marRight w:val="0"/>
      <w:marTop w:val="0"/>
      <w:marBottom w:val="0"/>
      <w:divBdr>
        <w:top w:val="none" w:sz="0" w:space="0" w:color="auto"/>
        <w:left w:val="none" w:sz="0" w:space="0" w:color="auto"/>
        <w:bottom w:val="none" w:sz="0" w:space="0" w:color="auto"/>
        <w:right w:val="none" w:sz="0" w:space="0" w:color="auto"/>
      </w:divBdr>
    </w:div>
    <w:div w:id="527911157">
      <w:bodyDiv w:val="1"/>
      <w:marLeft w:val="0"/>
      <w:marRight w:val="0"/>
      <w:marTop w:val="0"/>
      <w:marBottom w:val="0"/>
      <w:divBdr>
        <w:top w:val="none" w:sz="0" w:space="0" w:color="auto"/>
        <w:left w:val="none" w:sz="0" w:space="0" w:color="auto"/>
        <w:bottom w:val="none" w:sz="0" w:space="0" w:color="auto"/>
        <w:right w:val="none" w:sz="0" w:space="0" w:color="auto"/>
      </w:divBdr>
    </w:div>
    <w:div w:id="831682504">
      <w:bodyDiv w:val="1"/>
      <w:marLeft w:val="0"/>
      <w:marRight w:val="0"/>
      <w:marTop w:val="0"/>
      <w:marBottom w:val="0"/>
      <w:divBdr>
        <w:top w:val="none" w:sz="0" w:space="0" w:color="auto"/>
        <w:left w:val="none" w:sz="0" w:space="0" w:color="auto"/>
        <w:bottom w:val="none" w:sz="0" w:space="0" w:color="auto"/>
        <w:right w:val="none" w:sz="0" w:space="0" w:color="auto"/>
      </w:divBdr>
    </w:div>
    <w:div w:id="975571227">
      <w:bodyDiv w:val="1"/>
      <w:marLeft w:val="0"/>
      <w:marRight w:val="0"/>
      <w:marTop w:val="0"/>
      <w:marBottom w:val="0"/>
      <w:divBdr>
        <w:top w:val="none" w:sz="0" w:space="0" w:color="auto"/>
        <w:left w:val="none" w:sz="0" w:space="0" w:color="auto"/>
        <w:bottom w:val="none" w:sz="0" w:space="0" w:color="auto"/>
        <w:right w:val="none" w:sz="0" w:space="0" w:color="auto"/>
      </w:divBdr>
    </w:div>
    <w:div w:id="1015496244">
      <w:bodyDiv w:val="1"/>
      <w:marLeft w:val="0"/>
      <w:marRight w:val="0"/>
      <w:marTop w:val="0"/>
      <w:marBottom w:val="0"/>
      <w:divBdr>
        <w:top w:val="none" w:sz="0" w:space="0" w:color="auto"/>
        <w:left w:val="none" w:sz="0" w:space="0" w:color="auto"/>
        <w:bottom w:val="none" w:sz="0" w:space="0" w:color="auto"/>
        <w:right w:val="none" w:sz="0" w:space="0" w:color="auto"/>
      </w:divBdr>
    </w:div>
    <w:div w:id="1054278730">
      <w:bodyDiv w:val="1"/>
      <w:marLeft w:val="0"/>
      <w:marRight w:val="0"/>
      <w:marTop w:val="0"/>
      <w:marBottom w:val="0"/>
      <w:divBdr>
        <w:top w:val="none" w:sz="0" w:space="0" w:color="auto"/>
        <w:left w:val="none" w:sz="0" w:space="0" w:color="auto"/>
        <w:bottom w:val="none" w:sz="0" w:space="0" w:color="auto"/>
        <w:right w:val="none" w:sz="0" w:space="0" w:color="auto"/>
      </w:divBdr>
      <w:divsChild>
        <w:div w:id="1976906676">
          <w:marLeft w:val="0"/>
          <w:marRight w:val="0"/>
          <w:marTop w:val="0"/>
          <w:marBottom w:val="0"/>
          <w:divBdr>
            <w:top w:val="none" w:sz="0" w:space="0" w:color="auto"/>
            <w:left w:val="none" w:sz="0" w:space="0" w:color="auto"/>
            <w:bottom w:val="none" w:sz="0" w:space="0" w:color="auto"/>
            <w:right w:val="none" w:sz="0" w:space="0" w:color="auto"/>
          </w:divBdr>
        </w:div>
        <w:div w:id="350959371">
          <w:marLeft w:val="0"/>
          <w:marRight w:val="0"/>
          <w:marTop w:val="0"/>
          <w:marBottom w:val="0"/>
          <w:divBdr>
            <w:top w:val="none" w:sz="0" w:space="0" w:color="auto"/>
            <w:left w:val="none" w:sz="0" w:space="0" w:color="auto"/>
            <w:bottom w:val="none" w:sz="0" w:space="0" w:color="auto"/>
            <w:right w:val="none" w:sz="0" w:space="0" w:color="auto"/>
          </w:divBdr>
        </w:div>
      </w:divsChild>
    </w:div>
    <w:div w:id="1100563848">
      <w:bodyDiv w:val="1"/>
      <w:marLeft w:val="0"/>
      <w:marRight w:val="0"/>
      <w:marTop w:val="0"/>
      <w:marBottom w:val="0"/>
      <w:divBdr>
        <w:top w:val="none" w:sz="0" w:space="0" w:color="auto"/>
        <w:left w:val="none" w:sz="0" w:space="0" w:color="auto"/>
        <w:bottom w:val="none" w:sz="0" w:space="0" w:color="auto"/>
        <w:right w:val="none" w:sz="0" w:space="0" w:color="auto"/>
      </w:divBdr>
    </w:div>
    <w:div w:id="1122115885">
      <w:bodyDiv w:val="1"/>
      <w:marLeft w:val="0"/>
      <w:marRight w:val="0"/>
      <w:marTop w:val="0"/>
      <w:marBottom w:val="0"/>
      <w:divBdr>
        <w:top w:val="none" w:sz="0" w:space="0" w:color="auto"/>
        <w:left w:val="none" w:sz="0" w:space="0" w:color="auto"/>
        <w:bottom w:val="none" w:sz="0" w:space="0" w:color="auto"/>
        <w:right w:val="none" w:sz="0" w:space="0" w:color="auto"/>
      </w:divBdr>
    </w:div>
    <w:div w:id="1353989827">
      <w:bodyDiv w:val="1"/>
      <w:marLeft w:val="0"/>
      <w:marRight w:val="0"/>
      <w:marTop w:val="0"/>
      <w:marBottom w:val="0"/>
      <w:divBdr>
        <w:top w:val="none" w:sz="0" w:space="0" w:color="auto"/>
        <w:left w:val="none" w:sz="0" w:space="0" w:color="auto"/>
        <w:bottom w:val="none" w:sz="0" w:space="0" w:color="auto"/>
        <w:right w:val="none" w:sz="0" w:space="0" w:color="auto"/>
      </w:divBdr>
    </w:div>
    <w:div w:id="1575354463">
      <w:bodyDiv w:val="1"/>
      <w:marLeft w:val="0"/>
      <w:marRight w:val="0"/>
      <w:marTop w:val="0"/>
      <w:marBottom w:val="0"/>
      <w:divBdr>
        <w:top w:val="none" w:sz="0" w:space="0" w:color="auto"/>
        <w:left w:val="none" w:sz="0" w:space="0" w:color="auto"/>
        <w:bottom w:val="none" w:sz="0" w:space="0" w:color="auto"/>
        <w:right w:val="none" w:sz="0" w:space="0" w:color="auto"/>
      </w:divBdr>
    </w:div>
    <w:div w:id="1619525959">
      <w:bodyDiv w:val="1"/>
      <w:marLeft w:val="0"/>
      <w:marRight w:val="0"/>
      <w:marTop w:val="0"/>
      <w:marBottom w:val="0"/>
      <w:divBdr>
        <w:top w:val="none" w:sz="0" w:space="0" w:color="auto"/>
        <w:left w:val="none" w:sz="0" w:space="0" w:color="auto"/>
        <w:bottom w:val="none" w:sz="0" w:space="0" w:color="auto"/>
        <w:right w:val="none" w:sz="0" w:space="0" w:color="auto"/>
      </w:divBdr>
    </w:div>
    <w:div w:id="1723672641">
      <w:bodyDiv w:val="1"/>
      <w:marLeft w:val="0"/>
      <w:marRight w:val="0"/>
      <w:marTop w:val="0"/>
      <w:marBottom w:val="0"/>
      <w:divBdr>
        <w:top w:val="none" w:sz="0" w:space="0" w:color="auto"/>
        <w:left w:val="none" w:sz="0" w:space="0" w:color="auto"/>
        <w:bottom w:val="none" w:sz="0" w:space="0" w:color="auto"/>
        <w:right w:val="none" w:sz="0" w:space="0" w:color="auto"/>
      </w:divBdr>
    </w:div>
    <w:div w:id="173823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9.gi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jpeg"/><Relationship Id="rId29" Type="http://schemas.openxmlformats.org/officeDocument/2006/relationships/hyperlink" Target="http://www.ie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hyperlink" Target="http://refgov.cpdr.ucl.ac.be/?go=publications&amp;dc=115602da8c8b3939434fae5bfa28525545b11786"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hyperlink" Target="http://portal.wko.at/wk/format_detail.wk?AngID=1&amp;StID=276184"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statistik.at/" TargetMode="External"/><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ablony%20MS%20Office\Word\ZAKLADNI%20SABLONA%20SI.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F1EE7-60BF-486A-B495-14722840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ZAKLADNI SABLONA SI</Template>
  <TotalTime>0</TotalTime>
  <Pages>17</Pages>
  <Words>4384</Words>
  <Characters>27625</Characters>
  <Application>Microsoft Office Word</Application>
  <DocSecurity>0</DocSecurity>
  <Lines>230</Lines>
  <Paragraphs>63</Paragraphs>
  <ScaleCrop>false</ScaleCrop>
  <HeadingPairs>
    <vt:vector size="6" baseType="variant">
      <vt:variant>
        <vt:lpstr>Titel</vt:lpstr>
      </vt:variant>
      <vt:variant>
        <vt:i4>1</vt:i4>
      </vt:variant>
      <vt:variant>
        <vt:lpstr>Název</vt:lpstr>
      </vt:variant>
      <vt:variant>
        <vt:i4>1</vt:i4>
      </vt:variant>
      <vt:variant>
        <vt:lpstr>Title</vt:lpstr>
      </vt:variant>
      <vt:variant>
        <vt:i4>1</vt:i4>
      </vt:variant>
    </vt:vector>
  </HeadingPairs>
  <TitlesOfParts>
    <vt:vector size="3" baseType="lpstr">
      <vt:lpstr>1</vt:lpstr>
      <vt:lpstr>1</vt:lpstr>
      <vt:lpstr>1</vt:lpstr>
    </vt:vector>
  </TitlesOfParts>
  <Company/>
  <LinksUpToDate>false</LinksUpToDate>
  <CharactersWithSpaces>31946</CharactersWithSpaces>
  <SharedDoc>false</SharedDoc>
  <HLinks>
    <vt:vector size="24" baseType="variant">
      <vt:variant>
        <vt:i4>196729</vt:i4>
      </vt:variant>
      <vt:variant>
        <vt:i4>9</vt:i4>
      </vt:variant>
      <vt:variant>
        <vt:i4>0</vt:i4>
      </vt:variant>
      <vt:variant>
        <vt:i4>5</vt:i4>
      </vt:variant>
      <vt:variant>
        <vt:lpwstr>http://portal.wko.at/wk/format_detail.wk?AngID=1&amp;StID=276184</vt:lpwstr>
      </vt:variant>
      <vt:variant>
        <vt:lpwstr/>
      </vt:variant>
      <vt:variant>
        <vt:i4>65552</vt:i4>
      </vt:variant>
      <vt:variant>
        <vt:i4>6</vt:i4>
      </vt:variant>
      <vt:variant>
        <vt:i4>0</vt:i4>
      </vt:variant>
      <vt:variant>
        <vt:i4>5</vt:i4>
      </vt:variant>
      <vt:variant>
        <vt:lpwstr>http://www.statistik.at/</vt:lpwstr>
      </vt:variant>
      <vt:variant>
        <vt:lpwstr/>
      </vt:variant>
      <vt:variant>
        <vt:i4>2818153</vt:i4>
      </vt:variant>
      <vt:variant>
        <vt:i4>3</vt:i4>
      </vt:variant>
      <vt:variant>
        <vt:i4>0</vt:i4>
      </vt:variant>
      <vt:variant>
        <vt:i4>5</vt:i4>
      </vt:variant>
      <vt:variant>
        <vt:lpwstr>http://www.iea.org/</vt:lpwstr>
      </vt:variant>
      <vt:variant>
        <vt:lpwstr/>
      </vt:variant>
      <vt:variant>
        <vt:i4>4325395</vt:i4>
      </vt:variant>
      <vt:variant>
        <vt:i4>0</vt:i4>
      </vt:variant>
      <vt:variant>
        <vt:i4>0</vt:i4>
      </vt:variant>
      <vt:variant>
        <vt:i4>5</vt:i4>
      </vt:variant>
      <vt:variant>
        <vt:lpwstr>http://www.e-control.at/de/statistik/gas/marktstatistik/preisentwicklung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Jílková</dc:creator>
  <cp:keywords/>
  <cp:lastModifiedBy>Windows-Benutzer</cp:lastModifiedBy>
  <cp:revision>9</cp:revision>
  <cp:lastPrinted>2011-05-30T14:34:00Z</cp:lastPrinted>
  <dcterms:created xsi:type="dcterms:W3CDTF">2011-06-07T16:57:00Z</dcterms:created>
  <dcterms:modified xsi:type="dcterms:W3CDTF">2011-06-08T07:08:00Z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A3SaveFlag">
    <vt:i4>-1</vt:i4>
  </property>
</Properties>
</file>